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B8A0" w14:textId="395E4E94" w:rsidR="002A19BE" w:rsidRDefault="002A19BE" w:rsidP="00D71C6A">
      <w:pPr>
        <w:jc w:val="center"/>
        <w:rPr>
          <w:rFonts w:cs="Times New Roman"/>
          <w:b/>
          <w:bCs/>
          <w:sz w:val="28"/>
          <w:szCs w:val="28"/>
        </w:rPr>
      </w:pPr>
      <w:r w:rsidRPr="00D71C6A">
        <w:rPr>
          <w:rFonts w:cs="Times New Roman"/>
          <w:b/>
          <w:bCs/>
          <w:sz w:val="28"/>
          <w:szCs w:val="28"/>
        </w:rPr>
        <w:t>The Effect of ROA, ROE, NPM, EPS, and DER on Stock Prices in Palm Oil Companies Listed on the IDX (2021-2023)</w:t>
      </w:r>
    </w:p>
    <w:p w14:paraId="71F94BEB" w14:textId="77777777" w:rsidR="00D71C6A" w:rsidRPr="00D71C6A" w:rsidRDefault="00D71C6A" w:rsidP="00D71C6A">
      <w:pPr>
        <w:jc w:val="center"/>
        <w:rPr>
          <w:rFonts w:cs="Times New Roman"/>
          <w:b/>
          <w:bCs/>
          <w:sz w:val="28"/>
          <w:szCs w:val="28"/>
        </w:rPr>
      </w:pPr>
    </w:p>
    <w:p w14:paraId="49F8E92A" w14:textId="55DC3D19" w:rsidR="003834AB" w:rsidRPr="00D71C6A" w:rsidRDefault="003834AB" w:rsidP="00D71C6A">
      <w:pPr>
        <w:contextualSpacing/>
        <w:jc w:val="center"/>
        <w:rPr>
          <w:rFonts w:cs="Times New Roman"/>
          <w:szCs w:val="20"/>
        </w:rPr>
      </w:pPr>
      <w:r w:rsidRPr="00D71C6A">
        <w:rPr>
          <w:rFonts w:cs="Times New Roman"/>
          <w:szCs w:val="20"/>
        </w:rPr>
        <w:t>Ugitia Ningrum</w:t>
      </w:r>
      <w:r w:rsidR="00043D6B" w:rsidRPr="00D71C6A">
        <w:rPr>
          <w:rFonts w:cs="Times New Roman"/>
          <w:szCs w:val="20"/>
        </w:rPr>
        <w:t xml:space="preserve"> </w:t>
      </w:r>
      <w:r w:rsidR="002A19BE" w:rsidRPr="00D71C6A">
        <w:rPr>
          <w:rFonts w:cs="Times New Roman"/>
          <w:szCs w:val="20"/>
          <w:vertAlign w:val="superscript"/>
        </w:rPr>
        <w:t>1</w:t>
      </w:r>
      <w:r w:rsidRPr="00D71C6A">
        <w:rPr>
          <w:rFonts w:cs="Times New Roman"/>
          <w:szCs w:val="20"/>
        </w:rPr>
        <w:t>,</w:t>
      </w:r>
      <w:r w:rsidR="00043D6B" w:rsidRPr="00D71C6A">
        <w:rPr>
          <w:rFonts w:cs="Times New Roman"/>
          <w:szCs w:val="20"/>
        </w:rPr>
        <w:t xml:space="preserve"> Arda Raditya Tantra</w:t>
      </w:r>
      <w:r w:rsidR="0058735A" w:rsidRPr="00D71C6A">
        <w:rPr>
          <w:rFonts w:cs="Times New Roman"/>
          <w:szCs w:val="20"/>
        </w:rPr>
        <w:t xml:space="preserve"> </w:t>
      </w:r>
      <w:r w:rsidR="002A19BE" w:rsidRPr="00D71C6A">
        <w:rPr>
          <w:rFonts w:cs="Times New Roman"/>
          <w:szCs w:val="20"/>
          <w:vertAlign w:val="superscript"/>
        </w:rPr>
        <w:t>2</w:t>
      </w:r>
    </w:p>
    <w:p w14:paraId="1103709F" w14:textId="012E3EE3" w:rsidR="003834AB" w:rsidRPr="00D71C6A" w:rsidRDefault="002A19BE" w:rsidP="00D71C6A">
      <w:pPr>
        <w:contextualSpacing/>
        <w:jc w:val="center"/>
        <w:rPr>
          <w:rFonts w:cs="Times New Roman"/>
          <w:szCs w:val="20"/>
        </w:rPr>
      </w:pPr>
      <w:r w:rsidRPr="00D71C6A">
        <w:rPr>
          <w:rFonts w:cs="Times New Roman"/>
          <w:szCs w:val="20"/>
          <w:vertAlign w:val="superscript"/>
        </w:rPr>
        <w:t>1,2</w:t>
      </w:r>
      <w:r w:rsidR="0027737A" w:rsidRPr="00D71C6A">
        <w:rPr>
          <w:rFonts w:cs="Times New Roman"/>
          <w:szCs w:val="20"/>
          <w:vertAlign w:val="superscript"/>
        </w:rPr>
        <w:t xml:space="preserve"> </w:t>
      </w:r>
      <w:r w:rsidR="003834AB" w:rsidRPr="00D71C6A">
        <w:rPr>
          <w:rFonts w:cs="Times New Roman"/>
          <w:szCs w:val="20"/>
        </w:rPr>
        <w:t>Universitas Ngudi Waluyo Ungaran</w:t>
      </w:r>
    </w:p>
    <w:p w14:paraId="01CBE55D" w14:textId="7BDDB25D" w:rsidR="00AF332E" w:rsidRPr="00D71C6A" w:rsidRDefault="003834AB" w:rsidP="00D71C6A">
      <w:pPr>
        <w:contextualSpacing/>
        <w:jc w:val="center"/>
        <w:rPr>
          <w:rFonts w:cs="Times New Roman"/>
          <w:szCs w:val="20"/>
        </w:rPr>
      </w:pPr>
      <w:r w:rsidRPr="00D71C6A">
        <w:rPr>
          <w:rFonts w:cs="Times New Roman"/>
          <w:szCs w:val="20"/>
        </w:rPr>
        <w:t xml:space="preserve">Email </w:t>
      </w:r>
      <w:r w:rsidR="002A19BE" w:rsidRPr="00D71C6A">
        <w:rPr>
          <w:rFonts w:cs="Times New Roman"/>
          <w:szCs w:val="20"/>
        </w:rPr>
        <w:t>Correspondence</w:t>
      </w:r>
      <w:r w:rsidRPr="00D71C6A">
        <w:rPr>
          <w:rFonts w:cs="Times New Roman"/>
          <w:szCs w:val="20"/>
        </w:rPr>
        <w:t>:</w:t>
      </w:r>
      <w:r w:rsidR="0027737A" w:rsidRPr="00D71C6A">
        <w:rPr>
          <w:rFonts w:cs="Times New Roman"/>
          <w:szCs w:val="20"/>
        </w:rPr>
        <w:t xml:space="preserve"> </w:t>
      </w:r>
      <w:r w:rsidR="00AF332E" w:rsidRPr="00D71C6A">
        <w:rPr>
          <w:rFonts w:cs="Times New Roman"/>
          <w:szCs w:val="20"/>
        </w:rPr>
        <w:t>raditya@unw.ac.id</w:t>
      </w:r>
    </w:p>
    <w:p w14:paraId="602CDDDA" w14:textId="47B5692F" w:rsidR="003834AB" w:rsidRPr="00D71C6A" w:rsidRDefault="003834AB" w:rsidP="00D71C6A">
      <w:pPr>
        <w:rPr>
          <w:rFonts w:cs="Times New Roman"/>
          <w:b/>
          <w:bCs/>
          <w:szCs w:val="20"/>
        </w:rPr>
      </w:pPr>
    </w:p>
    <w:p w14:paraId="3447DF1E" w14:textId="48AD816A" w:rsidR="003834AB" w:rsidRPr="00D71C6A" w:rsidRDefault="003834AB" w:rsidP="00D71C6A">
      <w:pPr>
        <w:jc w:val="center"/>
        <w:rPr>
          <w:rFonts w:cs="Times New Roman"/>
          <w:b/>
          <w:bCs/>
          <w:szCs w:val="20"/>
        </w:rPr>
      </w:pPr>
      <w:r w:rsidRPr="00D71C6A">
        <w:rPr>
          <w:rFonts w:cs="Times New Roman"/>
          <w:b/>
          <w:bCs/>
          <w:szCs w:val="20"/>
        </w:rPr>
        <w:t>A</w:t>
      </w:r>
      <w:r w:rsidR="00E95CDE" w:rsidRPr="00D71C6A">
        <w:rPr>
          <w:rFonts w:cs="Times New Roman"/>
          <w:b/>
          <w:bCs/>
          <w:szCs w:val="20"/>
        </w:rPr>
        <w:t>bstract</w:t>
      </w:r>
    </w:p>
    <w:p w14:paraId="00BFF01D" w14:textId="725A47FA" w:rsidR="00043D6B" w:rsidRPr="00D71C6A" w:rsidRDefault="00043D6B" w:rsidP="00D71C6A">
      <w:r w:rsidRPr="00D71C6A">
        <w:t>This study aims to examine the effect of Return on Assets (ROA), Return on Equity (ROE), Net Profit Margin (NPM), Earnings per Share (EPS), and Debt to Equity Ratio (DER) on stock prices of palm oil sub-sector companies listed on the Indonesia Stock Exchange (IDX) during the 2021–2023 period. The data source used in this research is secondary data consisting of annual financial reports and year-end closing stock prices. A purposive sampling technique was applied in selecting samples with the criteria of companies that consistently published annual financial statements during the observation period, resulting in a number of samples that met the research requirements. Data analysis was carried out using classical assumption tests and multiple linear regression, including partial t-test, simultaneous F-test, and the coefficient of determination (R²) with the assistance of IBM SPSS Statistics version 25. The results of the study indicate that partially ROA, ROE, and NPM have no significant effect on stock prices, EPS has a significant positive effect, while DER has a significant negative effect. Simultaneously, ROA, ROE, NPM, EPS, and DER significantly influence stock prices of palm oil sub-sector companies. These findings imply that investors should pay close attention to EPS and DER indicators when making investment decisions in palm oil sub-sector stocks on the IDX.</w:t>
      </w:r>
    </w:p>
    <w:p w14:paraId="7CDA822B" w14:textId="77777777" w:rsidR="008C668F" w:rsidRDefault="008C668F" w:rsidP="00D71C6A">
      <w:pPr>
        <w:rPr>
          <w:rFonts w:cs="Times New Roman"/>
          <w:szCs w:val="20"/>
        </w:rPr>
      </w:pPr>
    </w:p>
    <w:p w14:paraId="04509924" w14:textId="71C710C0" w:rsidR="00E95CDE" w:rsidRPr="008C668F" w:rsidRDefault="003834AB" w:rsidP="00D71C6A">
      <w:pPr>
        <w:rPr>
          <w:rFonts w:cs="Times New Roman"/>
          <w:szCs w:val="20"/>
        </w:rPr>
      </w:pPr>
      <w:r w:rsidRPr="008C668F">
        <w:rPr>
          <w:rFonts w:cs="Times New Roman"/>
          <w:b/>
          <w:bCs/>
          <w:szCs w:val="20"/>
        </w:rPr>
        <w:t>Keywords</w:t>
      </w:r>
      <w:r w:rsidRPr="00D71C6A">
        <w:rPr>
          <w:rFonts w:cs="Times New Roman"/>
          <w:szCs w:val="20"/>
        </w:rPr>
        <w:t xml:space="preserve">: </w:t>
      </w:r>
      <w:r w:rsidRPr="008C668F">
        <w:rPr>
          <w:rFonts w:cs="Times New Roman"/>
          <w:szCs w:val="20"/>
        </w:rPr>
        <w:t>ROA, ROE, NPM, EPS, DER, Stock Price</w:t>
      </w:r>
    </w:p>
    <w:p w14:paraId="5B857B1F" w14:textId="77777777" w:rsidR="0058735A" w:rsidRPr="00D71C6A" w:rsidRDefault="0058735A" w:rsidP="00D71C6A">
      <w:pPr>
        <w:rPr>
          <w:rFonts w:cs="Times New Roman"/>
          <w:i/>
          <w:iCs/>
          <w:szCs w:val="20"/>
        </w:rPr>
      </w:pPr>
    </w:p>
    <w:p w14:paraId="5E7A5CB7" w14:textId="4649CF0F" w:rsidR="001A6D0C" w:rsidRPr="00D71C6A" w:rsidRDefault="00E95CDE" w:rsidP="00D71C6A">
      <w:pPr>
        <w:rPr>
          <w:b/>
          <w:bCs/>
        </w:rPr>
      </w:pPr>
      <w:r w:rsidRPr="00D71C6A">
        <w:rPr>
          <w:b/>
          <w:bCs/>
        </w:rPr>
        <w:t>Introduction</w:t>
      </w:r>
    </w:p>
    <w:p w14:paraId="01DCAFED" w14:textId="65B1B2BB" w:rsidR="001A6D0C" w:rsidRPr="00D71C6A" w:rsidRDefault="001A6D0C" w:rsidP="00D71C6A">
      <w:pPr>
        <w:ind w:firstLine="426"/>
        <w:rPr>
          <w:rFonts w:cs="Times New Roman"/>
          <w:szCs w:val="20"/>
        </w:rPr>
      </w:pPr>
      <w:r w:rsidRPr="00D71C6A">
        <w:rPr>
          <w:rFonts w:cs="Times New Roman"/>
          <w:szCs w:val="20"/>
        </w:rPr>
        <w:t>In the era of globalization, the business landscape has experienced rapid transformation marked by intensified competition among companies worldwide. Organizations capable of maintaining operational stability and sustainable performance are more likely to survive and achieve long-term success, while those unable to adapt risk being eliminated from the market. These global challenges compel companies, particularly in Indonesia, to continuously enhance performance and efficiency to sustain competitiveness and contribute to national economic growth.</w:t>
      </w:r>
    </w:p>
    <w:p w14:paraId="0A55BA3E" w14:textId="37796E29" w:rsidR="001A6D0C" w:rsidRPr="00D71C6A" w:rsidRDefault="001A6D0C" w:rsidP="00D71C6A">
      <w:pPr>
        <w:ind w:firstLine="426"/>
        <w:rPr>
          <w:rFonts w:cs="Times New Roman"/>
          <w:szCs w:val="20"/>
        </w:rPr>
      </w:pPr>
      <w:r w:rsidRPr="00D71C6A">
        <w:rPr>
          <w:rFonts w:cs="Times New Roman"/>
          <w:szCs w:val="20"/>
        </w:rPr>
        <w:t xml:space="preserve">As business activities expand, companies require sufficient funding to support their operations and growth strategies. One of the most common methods to obtain external financing is through the issuance of shares in the capital market. Investment in the stock market involves allocating funds to financial instruments such as stocks, bonds, and other long-term securities with the expectation of future returns. The capital market plays a vital role as a bridge between investors with surplus funds and issuers in need of capital, thereby facilitating efficient resource allocation and contributing to economic stability </w:t>
      </w:r>
      <w:r w:rsidRPr="00D71C6A">
        <w:rPr>
          <w:rFonts w:cs="Times New Roman"/>
          <w:szCs w:val="20"/>
        </w:rPr>
        <w:fldChar w:fldCharType="begin" w:fldLock="1"/>
      </w:r>
      <w:r w:rsidR="00067173" w:rsidRPr="00D71C6A">
        <w:rPr>
          <w:rFonts w:cs="Times New Roman"/>
          <w:szCs w:val="20"/>
        </w:rPr>
        <w:instrText>ADDIN CSL_CITATION {"citationItems":[{"id":"ITEM-1","itemData":{"author":[{"dropping-particle":"","family":"Sunariyah","given":"","non-dropping-particle":"","parse-names":false,"suffix":""}],"id":"ITEM-1","issued":{"date-parts":[["0"]]},"publisher":"Penerbit Alfa Beta","publisher-place":"Jakarta","title":"Pengetahuan Pasar Modal","type":"book"},"uris":["http://www.mendeley.com/documents/?uuid=3a3695c0-8fa1-4dcf-ae9b-0975610b5404"]}],"mendeley":{"formattedCitation":"(Sunariyah, n.d.)","manualFormatting":"(Sunariyah, 2021)","plainTextFormattedCitation":"(Sunariyah, n.d.)","previouslyFormattedCitation":"(Sunariyah, n.d.)"},"properties":{"noteIndex":0},"schema":"https://github.com/citation-style-language/schema/raw/master/csl-citation.json"}</w:instrText>
      </w:r>
      <w:r w:rsidRPr="00D71C6A">
        <w:rPr>
          <w:rFonts w:cs="Times New Roman"/>
          <w:szCs w:val="20"/>
        </w:rPr>
        <w:fldChar w:fldCharType="separate"/>
      </w:r>
      <w:r w:rsidRPr="00D71C6A">
        <w:rPr>
          <w:rFonts w:cs="Times New Roman"/>
          <w:szCs w:val="20"/>
        </w:rPr>
        <w:t>(Sunariyah, 2021)</w:t>
      </w:r>
      <w:r w:rsidRPr="00D71C6A">
        <w:rPr>
          <w:rFonts w:cs="Times New Roman"/>
          <w:szCs w:val="20"/>
        </w:rPr>
        <w:fldChar w:fldCharType="end"/>
      </w:r>
      <w:r w:rsidRPr="00D71C6A">
        <w:rPr>
          <w:rFonts w:cs="Times New Roman"/>
          <w:szCs w:val="20"/>
        </w:rPr>
        <w:t>.</w:t>
      </w:r>
    </w:p>
    <w:p w14:paraId="15D69746" w14:textId="747BCC8E" w:rsidR="001A6D0C" w:rsidRPr="00D71C6A" w:rsidRDefault="001A6D0C" w:rsidP="00D71C6A">
      <w:pPr>
        <w:ind w:firstLine="426"/>
        <w:rPr>
          <w:rFonts w:cs="Times New Roman"/>
          <w:szCs w:val="20"/>
        </w:rPr>
      </w:pPr>
      <w:r w:rsidRPr="00D71C6A">
        <w:rPr>
          <w:rFonts w:cs="Times New Roman"/>
          <w:szCs w:val="20"/>
        </w:rPr>
        <w:t>In Indonesia, the industrial structure is into nine major sectors, with the agricultural sector particularly the plantation sub-sector playing a significant role in national development. Among various plantation commodities, palm oil stands out as the most dominant due to its high economic value and contribution to foreign exchange earnings. Crude palm oil (CPO) serves as Indonesia’s primary export commodity, positioning the nation as the world’s largest CPO producer with total output reaching 63.5 million tons in 2023 (Investasi Kontan, 2023). The palm oil industry not only supports Indonesia’s export performance but also enhances its role in the global supply chain (Kemenko Perekonomian, 2021).</w:t>
      </w:r>
    </w:p>
    <w:p w14:paraId="64760C1E" w14:textId="5896218A" w:rsidR="001A6D0C" w:rsidRPr="00D71C6A" w:rsidRDefault="001A6D0C" w:rsidP="00D71C6A">
      <w:pPr>
        <w:ind w:firstLine="426"/>
        <w:rPr>
          <w:rFonts w:cs="Times New Roman"/>
          <w:szCs w:val="20"/>
        </w:rPr>
      </w:pPr>
      <w:r w:rsidRPr="00D71C6A">
        <w:rPr>
          <w:rFonts w:cs="Times New Roman"/>
          <w:szCs w:val="20"/>
        </w:rPr>
        <w:t xml:space="preserve">Despite its substantial economic contribution, the stock prices of palm oil companies listed on the Indonesia Stock Exchange (IDX) have exhibited fluctuating patterns with a downward trend during 2021–2023. Stock prices represent market valuations reflecting investors’ perceptions of a company’s performance, profitability, and future prospects. According to Surya </w:t>
      </w:r>
      <w:r w:rsidR="00067173" w:rsidRPr="00D71C6A">
        <w:rPr>
          <w:rFonts w:cs="Times New Roman"/>
          <w:szCs w:val="20"/>
        </w:rPr>
        <w:fldChar w:fldCharType="begin" w:fldLock="1"/>
      </w:r>
      <w:r w:rsidR="00067173" w:rsidRPr="00D71C6A">
        <w:rPr>
          <w:rFonts w:cs="Times New Roman"/>
          <w:szCs w:val="20"/>
        </w:rPr>
        <w:instrText>ADDIN CSL_CITATION {"citationItems":[{"id":"ITEM-1","itemData":{"author":[{"dropping-particle":"","family":"Surya","given":"","non-dropping-particle":"","parse-names":false,"suffix":""}],"id":"ITEM-1","issued":{"date-parts":[["0"]]},"publisher":"Penerbit Ekonomi Nusantara","publisher-place":"Jakarta","title":"2021.Investasi dan Harga Saham","type":"book"},"uris":["http://www.mendeley.com/documents/?uuid=4c99b3bc-7a6c-429d-bae2-a94837c97c82"]}],"mendeley":{"formattedCitation":"(Surya, n.d.)","manualFormatting":"(Surya, 2021)","plainTextFormattedCitation":"(Surya, n.d.)","previouslyFormattedCitation":"(Surya, n.d.)"},"properties":{"noteIndex":0},"schema":"https://github.com/citation-style-language/schema/raw/master/csl-citation.json"}</w:instrText>
      </w:r>
      <w:r w:rsidR="00067173" w:rsidRPr="00D71C6A">
        <w:rPr>
          <w:rFonts w:cs="Times New Roman"/>
          <w:szCs w:val="20"/>
        </w:rPr>
        <w:fldChar w:fldCharType="separate"/>
      </w:r>
      <w:r w:rsidR="00067173" w:rsidRPr="00D71C6A">
        <w:rPr>
          <w:rFonts w:cs="Times New Roman"/>
          <w:szCs w:val="20"/>
        </w:rPr>
        <w:t>(Surya, 2021)</w:t>
      </w:r>
      <w:r w:rsidR="00067173" w:rsidRPr="00D71C6A">
        <w:rPr>
          <w:rFonts w:cs="Times New Roman"/>
          <w:szCs w:val="20"/>
        </w:rPr>
        <w:fldChar w:fldCharType="end"/>
      </w:r>
      <w:r w:rsidRPr="00D71C6A">
        <w:rPr>
          <w:rFonts w:cs="Times New Roman"/>
          <w:szCs w:val="20"/>
        </w:rPr>
        <w:t>, stock prices are shaped by fundamental financial factors</w:t>
      </w:r>
      <w:r w:rsidR="00067173" w:rsidRPr="00D71C6A">
        <w:rPr>
          <w:rFonts w:cs="Times New Roman"/>
          <w:szCs w:val="20"/>
        </w:rPr>
        <w:t xml:space="preserve"> </w:t>
      </w:r>
      <w:r w:rsidRPr="00D71C6A">
        <w:rPr>
          <w:rFonts w:cs="Times New Roman"/>
          <w:szCs w:val="20"/>
        </w:rPr>
        <w:t>such as earnings and cash flow</w:t>
      </w:r>
      <w:r w:rsidR="00067173" w:rsidRPr="00D71C6A">
        <w:rPr>
          <w:rFonts w:cs="Times New Roman"/>
          <w:szCs w:val="20"/>
        </w:rPr>
        <w:t xml:space="preserve"> </w:t>
      </w:r>
      <w:r w:rsidRPr="00D71C6A">
        <w:rPr>
          <w:rFonts w:cs="Times New Roman"/>
          <w:szCs w:val="20"/>
        </w:rPr>
        <w:t>market expectations, and external conditions including interest rates, inflation, and investor sentiment. High stock prices signal strong investor confidence, while prolonged declines may indicate weakened perceptions of company value.</w:t>
      </w:r>
    </w:p>
    <w:p w14:paraId="1FBBD898" w14:textId="77777777" w:rsidR="001A6D0C" w:rsidRPr="00D71C6A" w:rsidRDefault="001A6D0C" w:rsidP="00D71C6A">
      <w:pPr>
        <w:ind w:firstLine="426"/>
        <w:rPr>
          <w:rFonts w:cs="Times New Roman"/>
          <w:szCs w:val="20"/>
        </w:rPr>
      </w:pPr>
      <w:r w:rsidRPr="00D71C6A">
        <w:rPr>
          <w:rFonts w:cs="Times New Roman"/>
          <w:szCs w:val="20"/>
        </w:rPr>
        <w:lastRenderedPageBreak/>
        <w:t>Theoretically, stock prices should mirror a company’s intrinsic value derived from financial fundamentals, strategic positioning, and growth potential. Rational investors tend to evaluate financial ratios as analytical tools to assess company performance before making investment decisions. Key indicators such as Return on Assets (ROA), Return on Equity (ROE), Net Profit Margin (NPM), Earnings per Share (EPS), and Debt to Equity Ratio (DER) are often used to gauge profitability, efficiency, and capital structure. Examining the influence of these ratios provides insights into how investors interpret financial fundamentals in valuing firms.</w:t>
      </w:r>
    </w:p>
    <w:p w14:paraId="0470FA6B" w14:textId="6BFCF59E" w:rsidR="001A6D0C" w:rsidRPr="00D71C6A" w:rsidRDefault="001A6D0C" w:rsidP="00D71C6A">
      <w:pPr>
        <w:ind w:firstLine="426"/>
        <w:rPr>
          <w:rFonts w:cs="Times New Roman"/>
          <w:szCs w:val="20"/>
        </w:rPr>
      </w:pPr>
      <w:r w:rsidRPr="00D71C6A">
        <w:rPr>
          <w:rFonts w:cs="Times New Roman"/>
          <w:szCs w:val="20"/>
        </w:rPr>
        <w:t xml:space="preserve">Previous studies have reported mixed findings. </w:t>
      </w:r>
      <w:r w:rsidR="00067173" w:rsidRPr="00D71C6A">
        <w:rPr>
          <w:rFonts w:cs="Times New Roman"/>
          <w:szCs w:val="20"/>
        </w:rPr>
        <w:fldChar w:fldCharType="begin" w:fldLock="1"/>
      </w:r>
      <w:r w:rsidR="00067173" w:rsidRPr="00D71C6A">
        <w:rPr>
          <w:rFonts w:cs="Times New Roman"/>
          <w:szCs w:val="20"/>
        </w:rPr>
        <w:instrText>ADDIN CSL_CITATION {"citationItems":[{"id":"ITEM-1","itemData":{"author":[{"dropping-particle":"","family":"Permatasari","given":"N","non-dropping-particle":"","parse-names":false,"suffix":""},{"dropping-particle":"","family":"Anwar","given":"S","non-dropping-particle":"","parse-names":false,"suffix":""},{"dropping-particle":"","family":"Santoso","given":"R","non-dropping-particle":"","parse-names":false,"suffix":""}],"container-title":"Jurnal Ekonomi dan Keuangan","id":"ITEM-1","issue":"2","issued":{"date-parts":[["0"]]},"page":"123–135","title":"Pengaruh Return On Asset (ROA) dan Return On Equity (ROE) terhadap harga saham","type":"article-journal","volume":"14"},"uris":["http://www.mendeley.com/documents/?uuid=6c93f341-663d-46f4-89c8-105e616fe4d9"]}],"mendeley":{"formattedCitation":"(Permatasari et al., n.d.)","manualFormatting":"Permatasari et al., n.d.","plainTextFormattedCitation":"(Permatasari et al., n.d.)","previouslyFormattedCitation":"(Permatasari et al., n.d.)"},"properties":{"noteIndex":0},"schema":"https://github.com/citation-style-language/schema/raw/master/csl-citation.json"}</w:instrText>
      </w:r>
      <w:r w:rsidR="00067173" w:rsidRPr="00D71C6A">
        <w:rPr>
          <w:rFonts w:cs="Times New Roman"/>
          <w:szCs w:val="20"/>
        </w:rPr>
        <w:fldChar w:fldCharType="separate"/>
      </w:r>
      <w:r w:rsidR="00067173" w:rsidRPr="00D71C6A">
        <w:rPr>
          <w:rFonts w:cs="Times New Roman"/>
          <w:szCs w:val="20"/>
        </w:rPr>
        <w:t>Permatasari et al., n.d.</w:t>
      </w:r>
      <w:r w:rsidR="00067173" w:rsidRPr="00D71C6A">
        <w:rPr>
          <w:rFonts w:cs="Times New Roman"/>
          <w:szCs w:val="20"/>
        </w:rPr>
        <w:fldChar w:fldCharType="end"/>
      </w:r>
      <w:r w:rsidR="00067173" w:rsidRPr="00D71C6A">
        <w:rPr>
          <w:rFonts w:cs="Times New Roman"/>
          <w:szCs w:val="20"/>
        </w:rPr>
        <w:t xml:space="preserve"> (</w:t>
      </w:r>
      <w:r w:rsidRPr="00D71C6A">
        <w:rPr>
          <w:rFonts w:cs="Times New Roman"/>
          <w:szCs w:val="20"/>
        </w:rPr>
        <w:t xml:space="preserve">2019) found that ROA and ROE significantly affect stock prices, reflecting a firm’s ability to manage assets and equity efficiently to generate profit. </w:t>
      </w:r>
      <w:r w:rsidR="00067173" w:rsidRPr="00D71C6A">
        <w:rPr>
          <w:rFonts w:cs="Times New Roman"/>
          <w:szCs w:val="20"/>
        </w:rPr>
        <w:fldChar w:fldCharType="begin" w:fldLock="1"/>
      </w:r>
      <w:r w:rsidR="00067173" w:rsidRPr="00D71C6A">
        <w:rPr>
          <w:rFonts w:cs="Times New Roman"/>
          <w:szCs w:val="20"/>
        </w:rPr>
        <w:instrText>ADDIN CSL_CITATION {"citationItems":[{"id":"ITEM-1","itemData":{"author":[{"dropping-particle":"","family":"Brigham","given":"E F","non-dropping-particle":"","parse-names":false,"suffix":""},{"dropping-particle":"","family":"Houston","given":"J F","non-dropping-particle":"","parse-names":false,"suffix":""}],"id":"ITEM-1","issued":{"date-parts":[["0"]]},"publisher":"Salemba Empat","publisher-place":"Jakarta","title":"Dasar-Dasar Manajemen Keuangan","type":"book"},"uris":["http://www.mendeley.com/documents/?uuid=060c28bf-5999-4e02-9079-0724c3189c57"]}],"mendeley":{"formattedCitation":"(Brigham &amp; Houston, n.d.)","manualFormatting":"Brigham and Houston, (2019)","plainTextFormattedCitation":"(Brigham &amp; Houston, n.d.)","previouslyFormattedCitation":"(Brigham &amp; Houston, n.d.)"},"properties":{"noteIndex":0},"schema":"https://github.com/citation-style-language/schema/raw/master/csl-citation.json"}</w:instrText>
      </w:r>
      <w:r w:rsidR="00067173" w:rsidRPr="00D71C6A">
        <w:rPr>
          <w:rFonts w:cs="Times New Roman"/>
          <w:szCs w:val="20"/>
        </w:rPr>
        <w:fldChar w:fldCharType="separate"/>
      </w:r>
      <w:r w:rsidR="00067173" w:rsidRPr="00D71C6A">
        <w:rPr>
          <w:rFonts w:cs="Times New Roman"/>
          <w:szCs w:val="20"/>
        </w:rPr>
        <w:t>Brigham and Houston, (2019)</w:t>
      </w:r>
      <w:r w:rsidR="00067173" w:rsidRPr="00D71C6A">
        <w:rPr>
          <w:rFonts w:cs="Times New Roman"/>
          <w:szCs w:val="20"/>
        </w:rPr>
        <w:fldChar w:fldCharType="end"/>
      </w:r>
      <w:r w:rsidR="00067173" w:rsidRPr="00D71C6A">
        <w:rPr>
          <w:rFonts w:cs="Times New Roman"/>
          <w:szCs w:val="20"/>
        </w:rPr>
        <w:t xml:space="preserve"> </w:t>
      </w:r>
      <w:r w:rsidRPr="00D71C6A">
        <w:rPr>
          <w:rFonts w:cs="Times New Roman"/>
          <w:szCs w:val="20"/>
        </w:rPr>
        <w:t xml:space="preserve">highlighted that EPS is a key profitability indicator frequently used by investors to project future performance, while </w:t>
      </w:r>
      <w:r w:rsidR="00067173" w:rsidRPr="00D71C6A">
        <w:rPr>
          <w:rFonts w:cs="Times New Roman"/>
          <w:szCs w:val="20"/>
        </w:rPr>
        <w:fldChar w:fldCharType="begin" w:fldLock="1"/>
      </w:r>
      <w:r w:rsidR="00E02F86" w:rsidRPr="00D71C6A">
        <w:rPr>
          <w:rFonts w:cs="Times New Roman"/>
          <w:szCs w:val="20"/>
        </w:rPr>
        <w:instrText>ADDIN CSL_CITATION {"citationItems":[{"id":"ITEM-1","itemData":{"author":[{"dropping-particle":"","family":"Fitriano","given":"A","non-dropping-particle":"","parse-names":false,"suffix":""},{"dropping-particle":"","family":"Herfianti","given":"L","non-dropping-particle":"","parse-names":false,"suffix":""}],"container-title":"Jurnal Manajemen Keuangan","id":"ITEM-1","issue":"1","issued":{"date-parts":[["0"]]},"page":"45–56","title":"Pengaruh Net Profit Margin (NPM) terhadap nilai pasar saham","type":"article-journal","volume":"12"},"uris":["http://www.mendeley.com/documents/?uuid=57c022da-b20b-458e-9089-248f5d735c85"]}],"mendeley":{"formattedCitation":"(Fitriano &amp; Herfianti, n.d.)","manualFormatting":"Fitriano and Herfianti (2021)","plainTextFormattedCitation":"(Fitriano &amp; Herfianti, n.d.)","previouslyFormattedCitation":"(Fitriano &amp; Herfianti, n.d.)"},"properties":{"noteIndex":0},"schema":"https://github.com/citation-style-language/schema/raw/master/csl-citation.json"}</w:instrText>
      </w:r>
      <w:r w:rsidR="00067173" w:rsidRPr="00D71C6A">
        <w:rPr>
          <w:rFonts w:cs="Times New Roman"/>
          <w:szCs w:val="20"/>
        </w:rPr>
        <w:fldChar w:fldCharType="separate"/>
      </w:r>
      <w:r w:rsidR="00067173" w:rsidRPr="00D71C6A">
        <w:rPr>
          <w:rFonts w:cs="Times New Roman"/>
          <w:szCs w:val="20"/>
        </w:rPr>
        <w:t>Fitriano and Herfianti (2021)</w:t>
      </w:r>
      <w:r w:rsidR="00067173" w:rsidRPr="00D71C6A">
        <w:rPr>
          <w:rFonts w:cs="Times New Roman"/>
          <w:szCs w:val="20"/>
        </w:rPr>
        <w:fldChar w:fldCharType="end"/>
      </w:r>
      <w:r w:rsidR="00067173" w:rsidRPr="00D71C6A">
        <w:rPr>
          <w:rFonts w:cs="Times New Roman"/>
          <w:szCs w:val="20"/>
        </w:rPr>
        <w:t xml:space="preserve"> </w:t>
      </w:r>
      <w:r w:rsidRPr="00D71C6A">
        <w:rPr>
          <w:rFonts w:cs="Times New Roman"/>
          <w:szCs w:val="20"/>
        </w:rPr>
        <w:t>emphasized the role of NPM in determining market valuation. Additionally, DER represents a firm’s financial risk level—indicating the proportion of debt to equity—which can affect investor perception and stock valuation.</w:t>
      </w:r>
    </w:p>
    <w:p w14:paraId="7D437B03" w14:textId="5E8B87C0" w:rsidR="001A6D0C" w:rsidRPr="00D71C6A" w:rsidRDefault="001A6D0C" w:rsidP="00D71C6A">
      <w:pPr>
        <w:ind w:firstLine="426"/>
        <w:rPr>
          <w:rFonts w:cs="Times New Roman"/>
          <w:szCs w:val="20"/>
        </w:rPr>
      </w:pPr>
      <w:r w:rsidRPr="00D71C6A">
        <w:rPr>
          <w:rFonts w:cs="Times New Roman"/>
          <w:szCs w:val="20"/>
        </w:rPr>
        <w:t xml:space="preserve">ROA measures how effectively a company utilizes its assets to generate profits, serving as a key indicator of managerial efficiency </w:t>
      </w:r>
      <w:r w:rsidR="00E02F86" w:rsidRPr="00D71C6A">
        <w:rPr>
          <w:rFonts w:cs="Times New Roman"/>
          <w:szCs w:val="20"/>
        </w:rPr>
        <w:fldChar w:fldCharType="begin" w:fldLock="1"/>
      </w:r>
      <w:r w:rsidR="00E02F86" w:rsidRPr="00D71C6A">
        <w:rPr>
          <w:rFonts w:cs="Times New Roman"/>
          <w:szCs w:val="20"/>
        </w:rPr>
        <w:instrText>ADDIN CSL_CITATION {"citationItems":[{"id":"ITEM-1","itemData":{"author":[{"dropping-particle":"","family":"Kasmir","given":"","non-dropping-particle":"","parse-names":false,"suffix":""}],"id":"ITEM-1","issued":{"date-parts":[["0"]]},"publisher":"Rajawali Pers","publisher-place":"Jakarta","title":"Analisis Laporan Keuangan","type":"book"},"uris":["http://www.mendeley.com/documents/?uuid=f14700c9-917d-44a1-a791-d967aa8aa1fa"]}],"mendeley":{"formattedCitation":"(Kasmir, n.d.)","manualFormatting":"(Kasmir, 2019)","plainTextFormattedCitation":"(Kasmir, n.d.)","previouslyFormattedCitation":"(Kasmir, n.d.)"},"properties":{"noteIndex":0},"schema":"https://github.com/citation-style-language/schema/raw/master/csl-citation.json"}</w:instrText>
      </w:r>
      <w:r w:rsidR="00E02F86" w:rsidRPr="00D71C6A">
        <w:rPr>
          <w:rFonts w:cs="Times New Roman"/>
          <w:szCs w:val="20"/>
        </w:rPr>
        <w:fldChar w:fldCharType="separate"/>
      </w:r>
      <w:r w:rsidR="00E02F86" w:rsidRPr="00D71C6A">
        <w:rPr>
          <w:rFonts w:cs="Times New Roman"/>
          <w:szCs w:val="20"/>
        </w:rPr>
        <w:t>(Kasmir, 2019)</w:t>
      </w:r>
      <w:r w:rsidR="00E02F86" w:rsidRPr="00D71C6A">
        <w:rPr>
          <w:rFonts w:cs="Times New Roman"/>
          <w:szCs w:val="20"/>
        </w:rPr>
        <w:fldChar w:fldCharType="end"/>
      </w:r>
      <w:r w:rsidRPr="00D71C6A">
        <w:rPr>
          <w:rFonts w:cs="Times New Roman"/>
          <w:szCs w:val="20"/>
        </w:rPr>
        <w:t xml:space="preserve">. ROE evaluates how well equity capital is employed to produce returns, indicating financial performance from shareholders’ perspectives </w:t>
      </w:r>
      <w:r w:rsidR="00E02F86" w:rsidRPr="00D71C6A">
        <w:rPr>
          <w:rFonts w:cs="Times New Roman"/>
          <w:szCs w:val="20"/>
        </w:rPr>
        <w:fldChar w:fldCharType="begin" w:fldLock="1"/>
      </w:r>
      <w:r w:rsidR="00FF30F2" w:rsidRPr="00D71C6A">
        <w:rPr>
          <w:rFonts w:cs="Times New Roman"/>
          <w:szCs w:val="20"/>
        </w:rPr>
        <w:instrText>ADDIN CSL_CITATION {"citationItems":[{"id":"ITEM-1","itemData":{"author":[{"dropping-particle":"","family":"Brigham","given":"E F","non-dropping-particle":"","parse-names":false,"suffix":""},{"dropping-particle":"","family":"Houston","given":"J F","non-dropping-particle":"","parse-names":false,"suffix":""}],"id":"ITEM-1","issued":{"date-parts":[["0"]]},"publisher":"Salemba Empat","publisher-place":"Jakarta","title":"Dasar-Dasar Manajemen Keuangan","type":"book"},"uris":["http://www.mendeley.com/documents/?uuid=060c28bf-5999-4e02-9079-0724c3189c57"]}],"mendeley":{"formattedCitation":"(Brigham &amp; Houston, n.d.)","manualFormatting":"(Brigham &amp; Houston, 2022)","plainTextFormattedCitation":"(Brigham &amp; Houston, n.d.)","previouslyFormattedCitation":"(Brigham &amp; Houston, n.d.)"},"properties":{"noteIndex":0},"schema":"https://github.com/citation-style-language/schema/raw/master/csl-citation.json"}</w:instrText>
      </w:r>
      <w:r w:rsidR="00E02F86" w:rsidRPr="00D71C6A">
        <w:rPr>
          <w:rFonts w:cs="Times New Roman"/>
          <w:szCs w:val="20"/>
        </w:rPr>
        <w:fldChar w:fldCharType="separate"/>
      </w:r>
      <w:r w:rsidR="00E02F86" w:rsidRPr="00D71C6A">
        <w:rPr>
          <w:rFonts w:cs="Times New Roman"/>
          <w:szCs w:val="20"/>
        </w:rPr>
        <w:t>(Brigham &amp; Houston, 2022)</w:t>
      </w:r>
      <w:r w:rsidR="00E02F86" w:rsidRPr="00D71C6A">
        <w:rPr>
          <w:rFonts w:cs="Times New Roman"/>
          <w:szCs w:val="20"/>
        </w:rPr>
        <w:fldChar w:fldCharType="end"/>
      </w:r>
      <w:r w:rsidRPr="00D71C6A">
        <w:rPr>
          <w:rFonts w:cs="Times New Roman"/>
          <w:szCs w:val="20"/>
        </w:rPr>
        <w:t xml:space="preserve">. NPM reflects the company’s operational efficiency in converting revenue into net profit </w:t>
      </w:r>
      <w:r w:rsidR="00E02F86" w:rsidRPr="00D71C6A">
        <w:rPr>
          <w:rFonts w:cs="Times New Roman"/>
          <w:szCs w:val="20"/>
        </w:rPr>
        <w:fldChar w:fldCharType="begin" w:fldLock="1"/>
      </w:r>
      <w:r w:rsidR="00E02F86" w:rsidRPr="00D71C6A">
        <w:rPr>
          <w:rFonts w:cs="Times New Roman"/>
          <w:szCs w:val="20"/>
        </w:rPr>
        <w:instrText>ADDIN CSL_CITATION {"citationItems":[{"id":"ITEM-1","itemData":{"author":[{"dropping-particle":"","family":"Sukamulja","given":"S","non-dropping-particle":"","parse-names":false,"suffix":""}],"id":"ITEM-1","issued":{"date-parts":[["0"]]},"publisher":"Penerbit Ekonomi Nusantara","publisher-place":"Jakarta","title":"Analisis Kinerja Keuangan Perusahaan","type":"book"},"uris":["http://www.mendeley.com/documents/?uuid=75376cc7-63a4-4037-ac50-fbd3f8f8692c"]}],"mendeley":{"formattedCitation":"(Sukamulja, n.d.)","manualFormatting":"(Sukamulja, 2019)","plainTextFormattedCitation":"(Sukamulja, n.d.)","previouslyFormattedCitation":"(Sukamulja, n.d.)"},"properties":{"noteIndex":0},"schema":"https://github.com/citation-style-language/schema/raw/master/csl-citation.json"}</w:instrText>
      </w:r>
      <w:r w:rsidR="00E02F86" w:rsidRPr="00D71C6A">
        <w:rPr>
          <w:rFonts w:cs="Times New Roman"/>
          <w:szCs w:val="20"/>
        </w:rPr>
        <w:fldChar w:fldCharType="separate"/>
      </w:r>
      <w:r w:rsidR="00E02F86" w:rsidRPr="00D71C6A">
        <w:rPr>
          <w:rFonts w:cs="Times New Roman"/>
          <w:szCs w:val="20"/>
        </w:rPr>
        <w:t>(Sukamulja, 2019)</w:t>
      </w:r>
      <w:r w:rsidR="00E02F86" w:rsidRPr="00D71C6A">
        <w:rPr>
          <w:rFonts w:cs="Times New Roman"/>
          <w:szCs w:val="20"/>
        </w:rPr>
        <w:fldChar w:fldCharType="end"/>
      </w:r>
      <w:r w:rsidRPr="00D71C6A">
        <w:rPr>
          <w:rFonts w:cs="Times New Roman"/>
          <w:szCs w:val="20"/>
        </w:rPr>
        <w:t xml:space="preserve">. EPS measures profitability per share and serves as a benchmark for investor confidence </w:t>
      </w:r>
      <w:r w:rsidR="00E02F86" w:rsidRPr="00D71C6A">
        <w:rPr>
          <w:rFonts w:cs="Times New Roman"/>
          <w:szCs w:val="20"/>
        </w:rPr>
        <w:fldChar w:fldCharType="begin" w:fldLock="1"/>
      </w:r>
      <w:r w:rsidR="00E02F86" w:rsidRPr="00D71C6A">
        <w:rPr>
          <w:rFonts w:cs="Times New Roman"/>
          <w:szCs w:val="20"/>
        </w:rPr>
        <w:instrText>ADDIN CSL_CITATION {"citationItems":[{"id":"ITEM-1","itemData":{"author":[{"dropping-particle":"","family":"Kasmir","given":"","non-dropping-particle":"","parse-names":false,"suffix":""}],"id":"ITEM-1","issued":{"date-parts":[["0"]]},"publisher":"Rajawali Pers","publisher-place":"Jakarta","title":"Analisis Laporan Keuangan","type":"book"},"uris":["http://www.mendeley.com/documents/?uuid=f14700c9-917d-44a1-a791-d967aa8aa1fa"]}],"mendeley":{"formattedCitation":"(Kasmir, n.d.)","manualFormatting":"(Kasmir, 2019)","plainTextFormattedCitation":"(Kasmir, n.d.)","previouslyFormattedCitation":"(Kasmir, n.d.)"},"properties":{"noteIndex":0},"schema":"https://github.com/citation-style-language/schema/raw/master/csl-citation.json"}</w:instrText>
      </w:r>
      <w:r w:rsidR="00E02F86" w:rsidRPr="00D71C6A">
        <w:rPr>
          <w:rFonts w:cs="Times New Roman"/>
          <w:szCs w:val="20"/>
        </w:rPr>
        <w:fldChar w:fldCharType="separate"/>
      </w:r>
      <w:r w:rsidR="00E02F86" w:rsidRPr="00D71C6A">
        <w:rPr>
          <w:rFonts w:cs="Times New Roman"/>
          <w:szCs w:val="20"/>
        </w:rPr>
        <w:t>(Kasmir, 2019)</w:t>
      </w:r>
      <w:r w:rsidR="00E02F86" w:rsidRPr="00D71C6A">
        <w:rPr>
          <w:rFonts w:cs="Times New Roman"/>
          <w:szCs w:val="20"/>
        </w:rPr>
        <w:fldChar w:fldCharType="end"/>
      </w:r>
      <w:r w:rsidR="00E02F86" w:rsidRPr="00D71C6A">
        <w:rPr>
          <w:rFonts w:cs="Times New Roman"/>
          <w:szCs w:val="20"/>
        </w:rPr>
        <w:t>.</w:t>
      </w:r>
      <w:r w:rsidRPr="00D71C6A">
        <w:rPr>
          <w:rFonts w:cs="Times New Roman"/>
          <w:szCs w:val="20"/>
        </w:rPr>
        <w:t xml:space="preserve">. DER assesses a firm’s capital structure by comparing total debt to equity, providing insights into its financial stability and risk exposure </w:t>
      </w:r>
      <w:r w:rsidR="00E02F86" w:rsidRPr="00D71C6A">
        <w:rPr>
          <w:rFonts w:cs="Times New Roman"/>
          <w:szCs w:val="20"/>
        </w:rPr>
        <w:fldChar w:fldCharType="begin" w:fldLock="1"/>
      </w:r>
      <w:r w:rsidR="00E02F86" w:rsidRPr="00D71C6A">
        <w:rPr>
          <w:rFonts w:cs="Times New Roman"/>
          <w:szCs w:val="20"/>
        </w:rPr>
        <w:instrText>ADDIN CSL_CITATION {"citationItems":[{"id":"ITEM-1","itemData":{"author":[{"dropping-particle":"","family":"Sartono","given":"A","non-dropping-particle":"","parse-names":false,"suffix":""}],"id":"ITEM-1","issued":{"date-parts":[["0"]]},"publisher":"BPFE","publisher-place":"Yogyakarta","title":"Keuangan","type":"book"},"uris":["http://www.mendeley.com/documents/?uuid=5ccc3cec-d9af-4a4c-babd-34a5de8c7203"]}],"mendeley":{"formattedCitation":"(Sartono, n.d.)","manualFormatting":"(Sartono, 2019.)","plainTextFormattedCitation":"(Sartono, n.d.)","previouslyFormattedCitation":"(Sartono, n.d.)"},"properties":{"noteIndex":0},"schema":"https://github.com/citation-style-language/schema/raw/master/csl-citation.json"}</w:instrText>
      </w:r>
      <w:r w:rsidR="00E02F86" w:rsidRPr="00D71C6A">
        <w:rPr>
          <w:rFonts w:cs="Times New Roman"/>
          <w:szCs w:val="20"/>
        </w:rPr>
        <w:fldChar w:fldCharType="separate"/>
      </w:r>
      <w:r w:rsidR="00E02F86" w:rsidRPr="00D71C6A">
        <w:rPr>
          <w:rFonts w:cs="Times New Roman"/>
          <w:szCs w:val="20"/>
        </w:rPr>
        <w:t>(Sartono, 2019.)</w:t>
      </w:r>
      <w:r w:rsidR="00E02F86" w:rsidRPr="00D71C6A">
        <w:rPr>
          <w:rFonts w:cs="Times New Roman"/>
          <w:szCs w:val="20"/>
        </w:rPr>
        <w:fldChar w:fldCharType="end"/>
      </w:r>
      <w:r w:rsidRPr="00D71C6A">
        <w:rPr>
          <w:rFonts w:cs="Times New Roman"/>
          <w:szCs w:val="20"/>
        </w:rPr>
        <w:t>.</w:t>
      </w:r>
    </w:p>
    <w:p w14:paraId="534212ED" w14:textId="77777777" w:rsidR="00D71C6A" w:rsidRDefault="001A6D0C" w:rsidP="00D71C6A">
      <w:pPr>
        <w:ind w:firstLine="360"/>
        <w:rPr>
          <w:rFonts w:cs="Times New Roman"/>
          <w:szCs w:val="20"/>
        </w:rPr>
      </w:pPr>
      <w:r w:rsidRPr="00D71C6A">
        <w:rPr>
          <w:rFonts w:cs="Times New Roman"/>
          <w:szCs w:val="20"/>
        </w:rPr>
        <w:t>Collectively, these financial ratios provide a comprehensive framework to evaluate a firm’s financial health, risk, and profitability potential. Understanding their influence on stock price movements in the palm oil sub-sector is crucial, as this industry plays a strategic role in Indonesia’s economy and global market presence.</w:t>
      </w:r>
    </w:p>
    <w:p w14:paraId="29BA1B9A" w14:textId="77777777" w:rsidR="00D71C6A" w:rsidRDefault="00D71C6A" w:rsidP="00D71C6A">
      <w:pPr>
        <w:rPr>
          <w:rFonts w:cs="Times New Roman"/>
          <w:szCs w:val="20"/>
        </w:rPr>
      </w:pPr>
    </w:p>
    <w:p w14:paraId="0219DFE4" w14:textId="67D9CDD4" w:rsidR="003834AB" w:rsidRPr="00D71C6A" w:rsidRDefault="00E02F86" w:rsidP="00D71C6A">
      <w:pPr>
        <w:rPr>
          <w:rFonts w:cs="Times New Roman"/>
          <w:szCs w:val="20"/>
        </w:rPr>
      </w:pPr>
      <w:r w:rsidRPr="00D71C6A">
        <w:rPr>
          <w:rFonts w:cs="Times New Roman"/>
          <w:b/>
          <w:bCs/>
          <w:szCs w:val="20"/>
        </w:rPr>
        <w:t>Literatur Review</w:t>
      </w:r>
    </w:p>
    <w:p w14:paraId="0778CC64" w14:textId="4045C07D" w:rsidR="00E02F86" w:rsidRPr="00D71C6A" w:rsidRDefault="00E02F86" w:rsidP="00D71C6A">
      <w:pPr>
        <w:rPr>
          <w:rFonts w:cs="Times New Roman"/>
          <w:b/>
          <w:bCs/>
          <w:szCs w:val="20"/>
        </w:rPr>
      </w:pPr>
      <w:r w:rsidRPr="00D71C6A">
        <w:rPr>
          <w:rFonts w:cs="Times New Roman"/>
          <w:b/>
          <w:bCs/>
          <w:szCs w:val="20"/>
        </w:rPr>
        <w:t>Signaling Theory</w:t>
      </w:r>
    </w:p>
    <w:p w14:paraId="0E0FF836" w14:textId="0699B073" w:rsidR="00E02F86" w:rsidRPr="00D71C6A" w:rsidRDefault="00E02F86" w:rsidP="00D71C6A">
      <w:pPr>
        <w:ind w:firstLine="426"/>
        <w:rPr>
          <w:rFonts w:cs="Times New Roman"/>
          <w:szCs w:val="20"/>
        </w:rPr>
      </w:pPr>
      <w:r w:rsidRPr="00D71C6A">
        <w:rPr>
          <w:rFonts w:cs="Times New Roman"/>
          <w:szCs w:val="20"/>
        </w:rPr>
        <w:t>The signaling theory explains how company management conveys information to investors regarding their perspectives on the company’s future prospects. According to</w:t>
      </w:r>
      <w:r w:rsidR="00FF30F2" w:rsidRPr="00D71C6A">
        <w:rPr>
          <w:rFonts w:cs="Times New Roman"/>
          <w:szCs w:val="20"/>
        </w:rPr>
        <w:t xml:space="preserve"> Ross, Westerfield, and Jaffe </w:t>
      </w:r>
      <w:r w:rsidR="00FF30F2" w:rsidRPr="00D71C6A">
        <w:rPr>
          <w:rFonts w:cs="Times New Roman"/>
          <w:szCs w:val="20"/>
        </w:rPr>
        <w:fldChar w:fldCharType="begin" w:fldLock="1"/>
      </w:r>
      <w:r w:rsidR="00FF30F2" w:rsidRPr="00D71C6A">
        <w:rPr>
          <w:rFonts w:cs="Times New Roman"/>
          <w:szCs w:val="20"/>
        </w:rPr>
        <w:instrText>ADDIN CSL_CITATION {"citationItems":[{"id":"ITEM-1","itemData":{"author":[{"dropping-particle":"","family":"Ross, S. A., Westerfield, R. W., &amp; Jaffe","given":"J.","non-dropping-particle":"","parse-names":false,"suffix":""}],"id":"ITEM-1","issued":{"date-parts":[["2022"]]},"publisher":"McGraw-Hill Education.","publisher-place":"New York","title":"Corporate Finance: Core Principles and Applications.","type":"book"},"uris":["http://www.mendeley.com/documents/?uuid=5343e83c-ef26-4f52-a880-35be5cf77f9f"]}],"mendeley":{"formattedCitation":"(Ross, S. A., Westerfield, R. W., &amp; Jaffe, 2022)","manualFormatting":"(2022)","plainTextFormattedCitation":"(Ross, S. A., Westerfield, R. W., &amp; Jaffe, 2022)","previouslyFormattedCitation":"(Ross, S. A., Westerfield, R. W., &amp; Jaffe, 2022)"},"properties":{"noteIndex":0},"schema":"https://github.com/citation-style-language/schema/raw/master/csl-citation.json"}</w:instrText>
      </w:r>
      <w:r w:rsidR="00FF30F2" w:rsidRPr="00D71C6A">
        <w:rPr>
          <w:rFonts w:cs="Times New Roman"/>
          <w:szCs w:val="20"/>
        </w:rPr>
        <w:fldChar w:fldCharType="separate"/>
      </w:r>
      <w:r w:rsidR="00FF30F2" w:rsidRPr="00D71C6A">
        <w:rPr>
          <w:rFonts w:cs="Times New Roman"/>
          <w:szCs w:val="20"/>
        </w:rPr>
        <w:t>(2022)</w:t>
      </w:r>
      <w:r w:rsidR="00FF30F2" w:rsidRPr="00D71C6A">
        <w:rPr>
          <w:rFonts w:cs="Times New Roman"/>
          <w:szCs w:val="20"/>
        </w:rPr>
        <w:fldChar w:fldCharType="end"/>
      </w:r>
      <w:r w:rsidRPr="00D71C6A">
        <w:rPr>
          <w:rFonts w:cs="Times New Roman"/>
          <w:szCs w:val="20"/>
        </w:rPr>
        <w:t>, a signal represents a managerial action intended to communicate the management’s expectations and perceptions concerning the firm’s performance and outlook.</w:t>
      </w:r>
    </w:p>
    <w:p w14:paraId="15B1F946" w14:textId="0FDC8453" w:rsidR="00E02F86" w:rsidRPr="00D71C6A" w:rsidRDefault="00E02F86" w:rsidP="00D71C6A">
      <w:pPr>
        <w:ind w:firstLine="426"/>
        <w:rPr>
          <w:rFonts w:cs="Times New Roman"/>
          <w:szCs w:val="20"/>
        </w:rPr>
      </w:pPr>
      <w:r w:rsidRPr="00D71C6A">
        <w:rPr>
          <w:rFonts w:cs="Times New Roman"/>
          <w:szCs w:val="20"/>
        </w:rPr>
        <w:t>This concept arises from the existence of information asymmetry, a condition in which one party</w:t>
      </w:r>
      <w:r w:rsidR="00FA3B4F" w:rsidRPr="00D71C6A">
        <w:rPr>
          <w:rFonts w:cs="Times New Roman"/>
          <w:szCs w:val="20"/>
        </w:rPr>
        <w:t xml:space="preserve"> </w:t>
      </w:r>
      <w:r w:rsidRPr="00D71C6A">
        <w:rPr>
          <w:rFonts w:cs="Times New Roman"/>
          <w:szCs w:val="20"/>
        </w:rPr>
        <w:t>typically management</w:t>
      </w:r>
      <w:r w:rsidR="00FA3B4F" w:rsidRPr="00D71C6A">
        <w:rPr>
          <w:rFonts w:cs="Times New Roman"/>
          <w:szCs w:val="20"/>
        </w:rPr>
        <w:t xml:space="preserve"> </w:t>
      </w:r>
      <w:r w:rsidRPr="00D71C6A">
        <w:rPr>
          <w:rFonts w:cs="Times New Roman"/>
          <w:szCs w:val="20"/>
        </w:rPr>
        <w:t>possesses greater access to internal information than external parties, such as investors. When such asymmetry occurs, investors face uncertainty in making investment decisions. Therefore, signals provided by companies serve to mitigate this imbalance and reduce uncertainty in the decision-making process.</w:t>
      </w:r>
    </w:p>
    <w:p w14:paraId="67B4BB1C" w14:textId="1825E7C8" w:rsidR="00E02F86" w:rsidRPr="00D71C6A" w:rsidRDefault="00E02F86" w:rsidP="00D71C6A">
      <w:pPr>
        <w:ind w:firstLine="426"/>
        <w:rPr>
          <w:rFonts w:cs="Times New Roman"/>
          <w:szCs w:val="20"/>
        </w:rPr>
      </w:pPr>
      <w:r w:rsidRPr="00D71C6A">
        <w:rPr>
          <w:rFonts w:cs="Times New Roman"/>
          <w:szCs w:val="20"/>
        </w:rPr>
        <w:t xml:space="preserve">The theory assumes that investors interpret managerial actions and publicly disclosed information as indicators of a company’s credibility and quality. To minimize information asymmetry, companies are encouraged to deliver accurate, transparent, and credible signals, primarily through the disclosure of positive financial information. Transparent and reliable information enhances investor confidence and allows them to evaluate the company’s value and future prospects more accurately </w:t>
      </w:r>
      <w:r w:rsidR="00FF30F2" w:rsidRPr="00D71C6A">
        <w:rPr>
          <w:rFonts w:cs="Times New Roman"/>
          <w:szCs w:val="20"/>
        </w:rPr>
        <w:fldChar w:fldCharType="begin" w:fldLock="1"/>
      </w:r>
      <w:r w:rsidR="00FF30F2" w:rsidRPr="00D71C6A">
        <w:rPr>
          <w:rFonts w:cs="Times New Roman"/>
          <w:szCs w:val="20"/>
        </w:rPr>
        <w:instrText>ADDIN CSL_CITATION {"citationItems":[{"id":"ITEM-1","itemData":{"author":[{"dropping-particle":"","family":"Sudjiman, A., &amp; Riyadi","given":"B","non-dropping-particle":"","parse-names":false,"suffix":""}],"id":"ITEM-1","issued":{"date-parts":[["2023"]]},"publisher":"Mitra Media","publisher-place":"Surabaya","title":"Analisis Fundamental dan Pasar Modal","type":"book"},"uris":["http://www.mendeley.com/documents/?uuid=86a5e9d4-a020-4e50-96b1-4843d21e51c5"]}],"mendeley":{"formattedCitation":"(Sudjiman, A., &amp; Riyadi, 2023)","plainTextFormattedCitation":"(Sudjiman, A., &amp; Riyadi, 2023)","previouslyFormattedCitation":"(Sudjiman, A., &amp; Riyadi, 2023)"},"properties":{"noteIndex":0},"schema":"https://github.com/citation-style-language/schema/raw/master/csl-citation.json"}</w:instrText>
      </w:r>
      <w:r w:rsidR="00FF30F2" w:rsidRPr="00D71C6A">
        <w:rPr>
          <w:rFonts w:cs="Times New Roman"/>
          <w:szCs w:val="20"/>
        </w:rPr>
        <w:fldChar w:fldCharType="separate"/>
      </w:r>
      <w:r w:rsidR="00FF30F2" w:rsidRPr="00D71C6A">
        <w:rPr>
          <w:rFonts w:cs="Times New Roman"/>
          <w:szCs w:val="20"/>
        </w:rPr>
        <w:t>(Sudjiman, A., &amp; Riyadi, 2023)</w:t>
      </w:r>
      <w:r w:rsidR="00FF30F2" w:rsidRPr="00D71C6A">
        <w:rPr>
          <w:rFonts w:cs="Times New Roman"/>
          <w:szCs w:val="20"/>
        </w:rPr>
        <w:fldChar w:fldCharType="end"/>
      </w:r>
      <w:r w:rsidRPr="00D71C6A">
        <w:rPr>
          <w:rFonts w:cs="Times New Roman"/>
          <w:szCs w:val="20"/>
        </w:rPr>
        <w:t>.</w:t>
      </w:r>
    </w:p>
    <w:p w14:paraId="1B7B025B" w14:textId="4D2C5A9E" w:rsidR="00E02F86" w:rsidRPr="00D71C6A" w:rsidRDefault="00E02F86" w:rsidP="00D71C6A">
      <w:pPr>
        <w:ind w:firstLine="426"/>
        <w:rPr>
          <w:rFonts w:cs="Times New Roman"/>
          <w:szCs w:val="20"/>
        </w:rPr>
      </w:pPr>
      <w:r w:rsidRPr="00D71C6A">
        <w:rPr>
          <w:rFonts w:cs="Times New Roman"/>
          <w:szCs w:val="20"/>
        </w:rPr>
        <w:t xml:space="preserve">In practice, signaling theory encourages companies to communicate relevant financial and non-financial data to both shareholders and potential investors. These signals may take the form of increased net income, improved operational efficiency, sound capital structure, or strong financial ratios that reflect positive performance. Such positive signals help reduce uncertainty and strengthen market perceptions of corporate stability </w:t>
      </w:r>
      <w:r w:rsidR="00FF30F2" w:rsidRPr="00D71C6A">
        <w:rPr>
          <w:rFonts w:cs="Times New Roman"/>
          <w:szCs w:val="20"/>
        </w:rPr>
        <w:fldChar w:fldCharType="begin" w:fldLock="1"/>
      </w:r>
      <w:r w:rsidR="00FF30F2" w:rsidRPr="00D71C6A">
        <w:rPr>
          <w:rFonts w:cs="Times New Roman"/>
          <w:szCs w:val="20"/>
        </w:rPr>
        <w:instrText>ADDIN CSL_CITATION {"citationItems":[{"id":"ITEM-1","itemData":{"author":[{"dropping-particle":"","family":"Rinaldi, A., &amp; Kusuma","given":"M","non-dropping-particle":"","parse-names":false,"suffix":""}],"id":"ITEM-1","issued":{"date-parts":[["2021"]]},"publisher":"Alfabeta","publisher-place":"Bandung","title":"Pengantar Pasar Modal dan Investasi","type":"book"},"uris":["http://www.mendeley.com/documents/?uuid=c16774a7-d55b-4135-b1c8-bf7781afd599"]}],"mendeley":{"formattedCitation":"(Rinaldi, A., &amp; Kusuma, 2021)","plainTextFormattedCitation":"(Rinaldi, A., &amp; Kusuma, 2021)","previouslyFormattedCitation":"(Rinaldi, A., &amp; Kusuma, 2021)"},"properties":{"noteIndex":0},"schema":"https://github.com/citation-style-language/schema/raw/master/csl-citation.json"}</w:instrText>
      </w:r>
      <w:r w:rsidR="00FF30F2" w:rsidRPr="00D71C6A">
        <w:rPr>
          <w:rFonts w:cs="Times New Roman"/>
          <w:szCs w:val="20"/>
        </w:rPr>
        <w:fldChar w:fldCharType="separate"/>
      </w:r>
      <w:r w:rsidR="00FF30F2" w:rsidRPr="00D71C6A">
        <w:rPr>
          <w:rFonts w:cs="Times New Roman"/>
          <w:szCs w:val="20"/>
        </w:rPr>
        <w:t>(Rinaldi, A., &amp; Kusuma, 2021)</w:t>
      </w:r>
      <w:r w:rsidR="00FF30F2" w:rsidRPr="00D71C6A">
        <w:rPr>
          <w:rFonts w:cs="Times New Roman"/>
          <w:szCs w:val="20"/>
        </w:rPr>
        <w:fldChar w:fldCharType="end"/>
      </w:r>
      <w:r w:rsidRPr="00D71C6A">
        <w:rPr>
          <w:rFonts w:cs="Times New Roman"/>
          <w:szCs w:val="20"/>
        </w:rPr>
        <w:t>.</w:t>
      </w:r>
    </w:p>
    <w:p w14:paraId="59162716" w14:textId="64E81D8B" w:rsidR="00E02F86" w:rsidRPr="00D71C6A" w:rsidRDefault="00E02F86" w:rsidP="00D71C6A">
      <w:pPr>
        <w:ind w:firstLine="426"/>
        <w:rPr>
          <w:rFonts w:cs="Times New Roman"/>
          <w:szCs w:val="20"/>
        </w:rPr>
      </w:pPr>
      <w:r w:rsidRPr="00D71C6A">
        <w:rPr>
          <w:rFonts w:cs="Times New Roman"/>
          <w:szCs w:val="20"/>
        </w:rPr>
        <w:t>Positive signals delivered by companies have a significant influence on investors’ decision-making. When firms demonstrate strong financial performance</w:t>
      </w:r>
      <w:r w:rsidR="00FA3B4F" w:rsidRPr="00D71C6A">
        <w:rPr>
          <w:rFonts w:cs="Times New Roman"/>
          <w:szCs w:val="20"/>
        </w:rPr>
        <w:t xml:space="preserve"> </w:t>
      </w:r>
      <w:r w:rsidRPr="00D71C6A">
        <w:rPr>
          <w:rFonts w:cs="Times New Roman"/>
          <w:szCs w:val="20"/>
        </w:rPr>
        <w:t>such as stable profit growth or rising stock prices</w:t>
      </w:r>
      <w:r w:rsidR="00FA3B4F" w:rsidRPr="00D71C6A">
        <w:rPr>
          <w:rFonts w:cs="Times New Roman"/>
          <w:szCs w:val="20"/>
        </w:rPr>
        <w:t xml:space="preserve"> </w:t>
      </w:r>
      <w:r w:rsidRPr="00D71C6A">
        <w:rPr>
          <w:rFonts w:cs="Times New Roman"/>
          <w:szCs w:val="20"/>
        </w:rPr>
        <w:t>investors perceive these as indications of a company’s capacity to grow and generate future economic value. Consequently, this enhances market confidence and reinforces the company’s image in the eyes of investors (</w:t>
      </w:r>
      <w:r w:rsidR="00FF30F2" w:rsidRPr="00D71C6A">
        <w:rPr>
          <w:rFonts w:cs="Times New Roman"/>
          <w:szCs w:val="20"/>
        </w:rPr>
        <w:fldChar w:fldCharType="begin" w:fldLock="1"/>
      </w:r>
      <w:r w:rsidR="00FA3B4F" w:rsidRPr="00D71C6A">
        <w:rPr>
          <w:rFonts w:cs="Times New Roman"/>
          <w:szCs w:val="20"/>
        </w:rPr>
        <w:instrText>ADDIN CSL_CITATION {"citationItems":[{"id":"ITEM-1","itemData":{"author":[{"dropping-particle":"","family":"Wijaya, H., &amp; Ananda","given":"S.","non-dropping-particle":"","parse-names":false,"suffix":""}],"id":"ITEM-1","issued":{"date-parts":[["2023"]]},"publisher":"Depublish","publisher-place":"Yogyakarta","title":"Manajemen Keuangan dan Investasi","type":"book"},"uris":["http://www.mendeley.com/documents/?uuid=bf429eaa-8d81-49da-bcd7-68dfa3409cb2"]}],"mendeley":{"formattedCitation":"(Wijaya, H., &amp; Ananda, 2023)","manualFormatting":"Wijaya, H., &amp; Ananda, 2023)","plainTextFormattedCitation":"(Wijaya, H., &amp; Ananda, 2023)","previouslyFormattedCitation":"(Wijaya, H., &amp; Ananda, 2023)"},"properties":{"noteIndex":0},"schema":"https://github.com/citation-style-language/schema/raw/master/csl-citation.json"}</w:instrText>
      </w:r>
      <w:r w:rsidR="00FF30F2" w:rsidRPr="00D71C6A">
        <w:rPr>
          <w:rFonts w:cs="Times New Roman"/>
          <w:szCs w:val="20"/>
        </w:rPr>
        <w:fldChar w:fldCharType="separate"/>
      </w:r>
      <w:r w:rsidR="00FF30F2" w:rsidRPr="00D71C6A">
        <w:rPr>
          <w:rFonts w:cs="Times New Roman"/>
          <w:szCs w:val="20"/>
        </w:rPr>
        <w:t>Wijaya, H., &amp; Ananda, 2023)</w:t>
      </w:r>
      <w:r w:rsidR="00FF30F2" w:rsidRPr="00D71C6A">
        <w:rPr>
          <w:rFonts w:cs="Times New Roman"/>
          <w:szCs w:val="20"/>
        </w:rPr>
        <w:fldChar w:fldCharType="end"/>
      </w:r>
      <w:r w:rsidR="00FF30F2" w:rsidRPr="00D71C6A">
        <w:rPr>
          <w:rFonts w:cs="Times New Roman"/>
          <w:szCs w:val="20"/>
        </w:rPr>
        <w:t>.</w:t>
      </w:r>
    </w:p>
    <w:p w14:paraId="5D423220" w14:textId="1C313D51" w:rsidR="00E02F86" w:rsidRPr="00D71C6A" w:rsidRDefault="00E02F86" w:rsidP="00D71C6A">
      <w:pPr>
        <w:ind w:firstLine="426"/>
        <w:rPr>
          <w:rFonts w:cs="Times New Roman"/>
          <w:szCs w:val="20"/>
        </w:rPr>
      </w:pPr>
      <w:r w:rsidRPr="00D71C6A">
        <w:rPr>
          <w:rFonts w:cs="Times New Roman"/>
          <w:szCs w:val="20"/>
        </w:rPr>
        <w:t>Signaling theory is particularly relevant to this study, which examines the influence of Return on Assets (ROA), Return on Equity (ROE), Net Profit Margin (NPM), Earnings per Share (EPS), and Debt to Equity Ratio (DER) on stock prices. These five variables represent financial signals derived from corporate financial statements that serve as the main basis for investors’ decision-</w:t>
      </w:r>
      <w:r w:rsidRPr="00D71C6A">
        <w:rPr>
          <w:rFonts w:cs="Times New Roman"/>
          <w:szCs w:val="20"/>
        </w:rPr>
        <w:lastRenderedPageBreak/>
        <w:t>making. When a company demonstrates strong and consistent financial ratios, investors tend to respond positively, leading to increased demand for its shares and, ultimately, higher stock prices in the market. Therefore, signaling theory provides a solid theoretical foundation for explaining the relationship between corporate financial performance and stock price movements in the capital market.</w:t>
      </w:r>
    </w:p>
    <w:p w14:paraId="6E2F5195" w14:textId="77777777" w:rsidR="003F3E27" w:rsidRPr="00D71C6A" w:rsidRDefault="003F3E27" w:rsidP="00D71C6A">
      <w:pPr>
        <w:rPr>
          <w:rFonts w:cs="Times New Roman"/>
          <w:b/>
          <w:bCs/>
          <w:szCs w:val="20"/>
        </w:rPr>
      </w:pPr>
      <w:r w:rsidRPr="00D71C6A">
        <w:rPr>
          <w:rFonts w:cs="Times New Roman"/>
          <w:b/>
          <w:bCs/>
          <w:szCs w:val="20"/>
        </w:rPr>
        <w:t>Return on Assets (ROA)</w:t>
      </w:r>
    </w:p>
    <w:p w14:paraId="7241D017" w14:textId="2582E0F8" w:rsidR="003F3E27" w:rsidRPr="00D71C6A" w:rsidRDefault="00FA3B4F" w:rsidP="00D71C6A">
      <w:pPr>
        <w:ind w:firstLine="426"/>
        <w:rPr>
          <w:rFonts w:cs="Times New Roman"/>
          <w:szCs w:val="20"/>
        </w:rPr>
      </w:pPr>
      <w:r w:rsidRPr="00D71C6A">
        <w:rPr>
          <w:rFonts w:cs="Times New Roman"/>
          <w:szCs w:val="20"/>
        </w:rPr>
        <w:t>Return on Assets (ROA) is a profitability indicator that measures the company’s ability to generate net income from its total assets. A higher ROA reflects greater efficiency in utilizing assets to produce profits, which can enhance investor confidence in the firm’s operational performance. ROA also indicates management’s effectiveness in deploying available resources to achieve optimal returns. However, in certain contexts, an increase in ROA may not necessarily lead to a rise in stock prices if the profits generated are perceived as unsustainable or derived from non-recurring income sources</w:t>
      </w:r>
      <w:r w:rsidR="003F3E27" w:rsidRPr="00D71C6A">
        <w:rPr>
          <w:rFonts w:cs="Times New Roman"/>
          <w:szCs w:val="20"/>
        </w:rPr>
        <w:t xml:space="preserve"> </w:t>
      </w:r>
      <w:r w:rsidR="00F91B95" w:rsidRPr="00D71C6A">
        <w:rPr>
          <w:rFonts w:cs="Times New Roman"/>
          <w:szCs w:val="20"/>
        </w:rPr>
        <w:fldChar w:fldCharType="begin" w:fldLock="1"/>
      </w:r>
      <w:r w:rsidR="00F91B95" w:rsidRPr="00D71C6A">
        <w:rPr>
          <w:rFonts w:cs="Times New Roman"/>
          <w:szCs w:val="20"/>
        </w:rPr>
        <w:instrText>ADDIN CSL_CITATION {"citationItems":[{"id":"ITEM-1","itemData":{"DOI":"10.38035/jim.v1i2.53","ISSN":"2829-4599","abstract":"In a research or scientific article, previous research or relevant research is critical. Previous or relevant research contributes to the theory and phenomena of the relationship or influence between variables. This article examines the Influence of Competence, ROA, ROE, and DER on Stock Returns Literature Review of the Company's Financial Management. The goal of this article is to develop a hypothesis about the influence of variables that will be used in future research. The findings of this research library are as follows: 1) ROA has a significant and positive impact on stock return. 2) ROE has a significant and positive impact on stock return. 3) DER has a positive and statistically significant impact on stockreturns. 4) ROA, ROE, and DER have a positive.","author":[{"dropping-particle":"","family":"Veronika Dora Wesso","given":"Maria","non-dropping-particle":"","parse-names":false,"suffix":""},{"dropping-particle":"","family":"John EHJ. FoEh","given":"","non-dropping-particle":"","parse-names":false,"suffix":""},{"dropping-particle":"","family":"Jhonni Sinaga","given":"","non-dropping-particle":"","parse-names":false,"suffix":""}],"container-title":"Jurnal Ilmu Multidisplin","id":"ITEM-1","issue":"2","issued":{"date-parts":[["2022"]]},"page":"434-446","title":"Analisis Pengaruh ROA, ROE, Dan DER Terhadap Return Saham (Literature Review Manajemen Keuangan Perusahaan)","type":"article-journal","volume":"1"},"uris":["http://www.mendeley.com/documents/?uuid=5199a61d-e18e-4dfb-a374-e42ca37a3f58"]}],"mendeley":{"formattedCitation":"(Veronika Dora Wesso et al., 2022)","plainTextFormattedCitation":"(Veronika Dora Wesso et al., 2022)","previouslyFormattedCitation":"(Veronika Dora Wesso et al., 2022)"},"properties":{"noteIndex":0},"schema":"https://github.com/citation-style-language/schema/raw/master/csl-citation.json"}</w:instrText>
      </w:r>
      <w:r w:rsidR="00F91B95" w:rsidRPr="00D71C6A">
        <w:rPr>
          <w:rFonts w:cs="Times New Roman"/>
          <w:szCs w:val="20"/>
        </w:rPr>
        <w:fldChar w:fldCharType="separate"/>
      </w:r>
      <w:r w:rsidR="00F91B95" w:rsidRPr="00D71C6A">
        <w:rPr>
          <w:rFonts w:cs="Times New Roman"/>
          <w:szCs w:val="20"/>
        </w:rPr>
        <w:t>(Veronika Dora Wesso et al., 2022)</w:t>
      </w:r>
      <w:r w:rsidR="00F91B95" w:rsidRPr="00D71C6A">
        <w:rPr>
          <w:rFonts w:cs="Times New Roman"/>
          <w:szCs w:val="20"/>
        </w:rPr>
        <w:fldChar w:fldCharType="end"/>
      </w:r>
      <w:r w:rsidR="003F3E27" w:rsidRPr="00D71C6A">
        <w:rPr>
          <w:rFonts w:cs="Times New Roman"/>
          <w:szCs w:val="20"/>
        </w:rPr>
        <w:t>.</w:t>
      </w:r>
    </w:p>
    <w:p w14:paraId="2C377032" w14:textId="77777777" w:rsidR="003F3E27" w:rsidRPr="00D71C6A" w:rsidRDefault="003F3E27" w:rsidP="00D71C6A">
      <w:pPr>
        <w:rPr>
          <w:rFonts w:cs="Times New Roman"/>
          <w:b/>
          <w:bCs/>
          <w:szCs w:val="20"/>
        </w:rPr>
      </w:pPr>
      <w:r w:rsidRPr="00D71C6A">
        <w:rPr>
          <w:rFonts w:cs="Times New Roman"/>
          <w:b/>
          <w:bCs/>
          <w:szCs w:val="20"/>
        </w:rPr>
        <w:t>Return on Equity (ROE)</w:t>
      </w:r>
    </w:p>
    <w:p w14:paraId="61D909E6" w14:textId="7FA6A6E1" w:rsidR="003F3E27" w:rsidRPr="00D71C6A" w:rsidRDefault="00FA3B4F" w:rsidP="00D71C6A">
      <w:pPr>
        <w:ind w:firstLine="426"/>
        <w:rPr>
          <w:rFonts w:cs="Times New Roman"/>
          <w:szCs w:val="20"/>
        </w:rPr>
      </w:pPr>
      <w:r w:rsidRPr="00D71C6A">
        <w:rPr>
          <w:rFonts w:cs="Times New Roman"/>
          <w:szCs w:val="20"/>
        </w:rPr>
        <w:t>Return on Equity (ROE) measures the rate of return earned by shareholders on their invested capital. It reflects how effectively management utilizes shareholders’ equity to generate net profits. A high ROE signals strong managerial efficiency and profitability, making the company’s stock more attractive to investors. Furthermore, ROE is widely used as an indicator of corporate financial performance, as it directly represents the company’s ability to create value for its shareholders</w:t>
      </w:r>
      <w:r w:rsidRPr="00D71C6A">
        <w:rPr>
          <w:rFonts w:cs="Times New Roman"/>
          <w:b/>
          <w:bCs/>
          <w:szCs w:val="20"/>
        </w:rPr>
        <w:t xml:space="preserve"> </w:t>
      </w:r>
      <w:r w:rsidR="00F91B95" w:rsidRPr="00D71C6A">
        <w:rPr>
          <w:rFonts w:cs="Times New Roman"/>
          <w:szCs w:val="20"/>
        </w:rPr>
        <w:fldChar w:fldCharType="begin" w:fldLock="1"/>
      </w:r>
      <w:r w:rsidR="00F91B95" w:rsidRPr="00D71C6A">
        <w:rPr>
          <w:rFonts w:cs="Times New Roman"/>
          <w:szCs w:val="20"/>
        </w:rPr>
        <w:instrText>ADDIN CSL_CITATION {"citationItems":[{"id":"ITEM-1","itemData":{"author":[{"dropping-particle":"","family":"Mileta","given":"Felisia","non-dropping-particle":"","parse-names":false,"suffix":""},{"dropping-particle":"","family":"Louis","given":"Jesa Alexandra","non-dropping-particle":"","parse-names":false,"suffix":""},{"dropping-particle":"","family":"Bahtiar","given":"Neyna Maharani","non-dropping-particle":"","parse-names":false,"suffix":""},{"dropping-particle":"","family":"Manurung","given":"Elizabeth Tiur","non-dropping-particle":"","parse-names":false,"suffix":""},{"dropping-particle":"","family":"Akuntansi","given":"Jurusan","non-dropping-particle":"","parse-names":false,"suffix":""},{"dropping-particle":"","family":"Parahyangan","given":"Universitas Katolik","non-dropping-particle":"","parse-names":false,"suffix":""},{"dropping-particle":"","family":"Akuntansi","given":"Jurusan","non-dropping-particle":"","parse-names":false,"suffix":""},{"dropping-particle":"","family":"Parahyangan","given":"Universitas Katolik","non-dropping-particle":"","parse-names":false,"suffix":""},{"dropping-particle":"","family":"Akuntansi","given":"Jurusan","non-dropping-particle":"","parse-names":false,"suffix":""},{"dropping-particle":"","family":"Parahyangan","given":"Universitas Katolik","non-dropping-particle":"","parse-names":false,"suffix":""},{"dropping-particle":"","family":"Akuntansi","given":"Jurusan","non-dropping-particle":"","parse-names":false,"suffix":""},{"dropping-particle":"","family":"Parahyangan","given":"Universitas Katolik","non-dropping-particle":"","parse-names":false,"suffix":""}],"id":"ITEM-1","issue":"2","issued":{"date-parts":[["2024"]]},"title":"Pengaruh Return on Equity ( ROE ) Terhadap Harga Saham PT Indofood Sukses Makmur TBK","type":"article-journal","volume":"3"},"uris":["http://www.mendeley.com/documents/?uuid=6728aa49-79d3-4e21-8dca-e1a82bba97cf"]}],"mendeley":{"formattedCitation":"(Mileta et al., 2024)","plainTextFormattedCitation":"(Mileta et al., 2024)","previouslyFormattedCitation":"(Mileta et al., 2024)"},"properties":{"noteIndex":0},"schema":"https://github.com/citation-style-language/schema/raw/master/csl-citation.json"}</w:instrText>
      </w:r>
      <w:r w:rsidR="00F91B95" w:rsidRPr="00D71C6A">
        <w:rPr>
          <w:rFonts w:cs="Times New Roman"/>
          <w:szCs w:val="20"/>
        </w:rPr>
        <w:fldChar w:fldCharType="separate"/>
      </w:r>
      <w:r w:rsidR="00F91B95" w:rsidRPr="00D71C6A">
        <w:rPr>
          <w:rFonts w:cs="Times New Roman"/>
          <w:szCs w:val="20"/>
        </w:rPr>
        <w:t>(Mileta et al., 2024)</w:t>
      </w:r>
      <w:r w:rsidR="00F91B95" w:rsidRPr="00D71C6A">
        <w:rPr>
          <w:rFonts w:cs="Times New Roman"/>
          <w:szCs w:val="20"/>
        </w:rPr>
        <w:fldChar w:fldCharType="end"/>
      </w:r>
      <w:r w:rsidR="00F91B95" w:rsidRPr="00D71C6A">
        <w:rPr>
          <w:rFonts w:cs="Times New Roman"/>
          <w:szCs w:val="20"/>
        </w:rPr>
        <w:t>.</w:t>
      </w:r>
    </w:p>
    <w:p w14:paraId="0CC2E925" w14:textId="77777777" w:rsidR="003F3E27" w:rsidRPr="00D71C6A" w:rsidRDefault="003F3E27" w:rsidP="00D71C6A">
      <w:pPr>
        <w:rPr>
          <w:rFonts w:cs="Times New Roman"/>
          <w:b/>
          <w:bCs/>
          <w:szCs w:val="20"/>
        </w:rPr>
      </w:pPr>
      <w:r w:rsidRPr="00D71C6A">
        <w:rPr>
          <w:rFonts w:cs="Times New Roman"/>
          <w:b/>
          <w:bCs/>
          <w:szCs w:val="20"/>
        </w:rPr>
        <w:t>Net Profit Margin (NPM)</w:t>
      </w:r>
    </w:p>
    <w:p w14:paraId="5E5DAD05" w14:textId="50874F0F" w:rsidR="003F3E27" w:rsidRPr="00D71C6A" w:rsidRDefault="00FA3B4F" w:rsidP="00D71C6A">
      <w:pPr>
        <w:ind w:firstLine="426"/>
        <w:rPr>
          <w:rFonts w:cs="Times New Roman"/>
          <w:szCs w:val="20"/>
        </w:rPr>
      </w:pPr>
      <w:r w:rsidRPr="00D71C6A">
        <w:rPr>
          <w:rFonts w:cs="Times New Roman"/>
          <w:szCs w:val="20"/>
        </w:rPr>
        <w:t>Net Profit Margin (NPM) represents the proportion of net income derived from total sales, demonstrating the company’s operational efficiency. A higher NPM indicates that the company effectively controls its costs relative to revenue, resulting in higher profitability. This condition sends a positive signal to investors, suggesting that the company is capable of maintaining profit stability even under fluctuating market conditions. Consequently, an increase in NPM tends to enhance investor perception and can lead to upward movement in stock prices</w:t>
      </w:r>
      <w:r w:rsidRPr="00D71C6A">
        <w:rPr>
          <w:rFonts w:cs="Times New Roman"/>
          <w:b/>
          <w:bCs/>
          <w:szCs w:val="20"/>
        </w:rPr>
        <w:t xml:space="preserve"> </w:t>
      </w:r>
      <w:r w:rsidR="00F91B95" w:rsidRPr="00D71C6A">
        <w:rPr>
          <w:rFonts w:cs="Times New Roman"/>
          <w:szCs w:val="20"/>
        </w:rPr>
        <w:fldChar w:fldCharType="begin" w:fldLock="1"/>
      </w:r>
      <w:r w:rsidR="00F91B95" w:rsidRPr="00D71C6A">
        <w:rPr>
          <w:rFonts w:cs="Times New Roman"/>
          <w:szCs w:val="20"/>
        </w:rPr>
        <w:instrText>ADDIN CSL_CITATION {"citationItems":[{"id":"ITEM-1","itemData":{"author":[{"dropping-particle":"","family":"Tampubolon","given":"Serenova Elizabeth","non-dropping-particle":"","parse-names":false,"suffix":""},{"dropping-particle":"","family":"Siallagan","given":"Hamonangan","non-dropping-particle":"","parse-names":false,"suffix":""},{"dropping-particle":"","family":"Ekonomi","given":"Fakultas","non-dropping-particle":"","parse-names":false,"suffix":""},{"dropping-particle":"","family":"Hkbp","given":"Universitas","non-dropping-particle":"","parse-names":false,"suffix":""}],"id":"ITEM-1","issue":"2","issued":{"date-parts":[["2024"]]},"page":"642-661","title":"Pengaruh ROA , DAR dan NPM Terhadap Harga Saham Perusahaan ( Studi Empiris pada Perusahaan Manufaktur Sub-Sektor Kosmetik dan Barang Keperluan Rumah Tangga yang terdaftar di Bursa Efek Indonesia ( BEI ) pada Tahun 2018-2022 )","type":"article-journal","volume":"5"},"uris":["http://www.mendeley.com/documents/?uuid=75a54766-ae4a-4f7d-bd13-888342d27482"]}],"mendeley":{"formattedCitation":"(Tampubolon et al., 2024)","plainTextFormattedCitation":"(Tampubolon et al., 2024)","previouslyFormattedCitation":"(Tampubolon et al., 2024)"},"properties":{"noteIndex":0},"schema":"https://github.com/citation-style-language/schema/raw/master/csl-citation.json"}</w:instrText>
      </w:r>
      <w:r w:rsidR="00F91B95" w:rsidRPr="00D71C6A">
        <w:rPr>
          <w:rFonts w:cs="Times New Roman"/>
          <w:szCs w:val="20"/>
        </w:rPr>
        <w:fldChar w:fldCharType="separate"/>
      </w:r>
      <w:r w:rsidR="00F91B95" w:rsidRPr="00D71C6A">
        <w:rPr>
          <w:rFonts w:cs="Times New Roman"/>
          <w:szCs w:val="20"/>
        </w:rPr>
        <w:t>(Tampubolon et al., 2024)</w:t>
      </w:r>
      <w:r w:rsidR="00F91B95" w:rsidRPr="00D71C6A">
        <w:rPr>
          <w:rFonts w:cs="Times New Roman"/>
          <w:szCs w:val="20"/>
        </w:rPr>
        <w:fldChar w:fldCharType="end"/>
      </w:r>
      <w:r w:rsidR="00F91B95" w:rsidRPr="00D71C6A">
        <w:rPr>
          <w:rFonts w:cs="Times New Roman"/>
          <w:szCs w:val="20"/>
        </w:rPr>
        <w:t>.</w:t>
      </w:r>
    </w:p>
    <w:p w14:paraId="490011E6" w14:textId="77777777" w:rsidR="003F3E27" w:rsidRPr="00D71C6A" w:rsidRDefault="003F3E27" w:rsidP="00D71C6A">
      <w:pPr>
        <w:rPr>
          <w:rFonts w:cs="Times New Roman"/>
          <w:b/>
          <w:bCs/>
          <w:szCs w:val="20"/>
        </w:rPr>
      </w:pPr>
      <w:r w:rsidRPr="00D71C6A">
        <w:rPr>
          <w:rFonts w:cs="Times New Roman"/>
          <w:b/>
          <w:bCs/>
          <w:szCs w:val="20"/>
        </w:rPr>
        <w:t>Earning Per Share (EPS)</w:t>
      </w:r>
    </w:p>
    <w:p w14:paraId="4AC38B4E" w14:textId="52C03C70" w:rsidR="003F3E27" w:rsidRPr="00D71C6A" w:rsidRDefault="00FA3B4F" w:rsidP="00D71C6A">
      <w:pPr>
        <w:ind w:firstLine="426"/>
        <w:rPr>
          <w:rFonts w:cs="Times New Roman"/>
          <w:szCs w:val="20"/>
        </w:rPr>
      </w:pPr>
      <w:r w:rsidRPr="00D71C6A">
        <w:rPr>
          <w:rFonts w:cs="Times New Roman"/>
          <w:szCs w:val="20"/>
        </w:rPr>
        <w:t>Earnings per Share (EPS) measures the amount of profit attributed to each outstanding share of common stock. A higher EPS reflects the company’s capability to distribute direct benefits to shareholders in the form of earnings, thus becoming a crucial benchmark in investment evaluation. Investors often regard EPS as a key determinant in assessing a company’s growth potential and profitability. An increasing EPS not only enhances investor trust but also signifies strong future performance expectations, which can positively influence stock valuation</w:t>
      </w:r>
      <w:r w:rsidRPr="00D71C6A">
        <w:rPr>
          <w:rFonts w:cs="Times New Roman"/>
          <w:b/>
          <w:bCs/>
          <w:szCs w:val="20"/>
        </w:rPr>
        <w:t xml:space="preserve"> </w:t>
      </w:r>
      <w:r w:rsidR="00F91B95" w:rsidRPr="00D71C6A">
        <w:rPr>
          <w:rFonts w:cs="Times New Roman"/>
          <w:szCs w:val="20"/>
        </w:rPr>
        <w:fldChar w:fldCharType="begin" w:fldLock="1"/>
      </w:r>
      <w:r w:rsidR="00B765F0" w:rsidRPr="00D71C6A">
        <w:rPr>
          <w:rFonts w:cs="Times New Roman"/>
          <w:szCs w:val="20"/>
        </w:rPr>
        <w:instrText>ADDIN CSL_CITATION {"citationItems":[{"id":"ITEM-1","itemData":{"author":[{"dropping-particle":"","family":"Roa","given":"Pengaruh","non-dropping-particle":"","parse-names":false,"suffix":""},{"dropping-particle":"","family":"Dan","given":"E P S","non-dropping-particle":"","parse-names":false,"suffix":""},{"dropping-particle":"","family":"Harga","given":"D E R Terhadap","non-dropping-particle":"","parse-names":false,"suffix":""},{"dropping-particle":"","family":"Dewi","given":"Natasha Salamona","non-dropping-particle":"","parse-names":false,"suffix":""},{"dropping-particle":"","family":"Suwarno","given":"Agus Endro","non-dropping-particle":"","parse-names":false,"suffix":""}],"id":"ITEM-1","issued":{"date-parts":[["2022"]]},"page":"472-482","title":"( Studi Empiris pada Perusahaan LQ45 yang Terdaftar di Bursa Efek Indonesia Tahun 2016-2020 )","type":"article-journal","volume":"1"},"uris":["http://www.mendeley.com/documents/?uuid=83cf5ad1-23e7-4b2b-9af0-6985ccc2bce1"]}],"mendeley":{"formattedCitation":"(Roa et al., 2022)","manualFormatting":"(Dewi &amp; Suwarno et al., 2022)","plainTextFormattedCitation":"(Roa et al., 2022)","previouslyFormattedCitation":"(Roa et al., 2022)"},"properties":{"noteIndex":0},"schema":"https://github.com/citation-style-language/schema/raw/master/csl-citation.json"}</w:instrText>
      </w:r>
      <w:r w:rsidR="00F91B95" w:rsidRPr="00D71C6A">
        <w:rPr>
          <w:rFonts w:cs="Times New Roman"/>
          <w:szCs w:val="20"/>
        </w:rPr>
        <w:fldChar w:fldCharType="separate"/>
      </w:r>
      <w:r w:rsidR="00F91B95" w:rsidRPr="00D71C6A">
        <w:rPr>
          <w:rFonts w:cs="Times New Roman"/>
          <w:szCs w:val="20"/>
        </w:rPr>
        <w:t>(Dewi &amp; Suwarno et al., 2022)</w:t>
      </w:r>
      <w:r w:rsidR="00F91B95" w:rsidRPr="00D71C6A">
        <w:rPr>
          <w:rFonts w:cs="Times New Roman"/>
          <w:szCs w:val="20"/>
        </w:rPr>
        <w:fldChar w:fldCharType="end"/>
      </w:r>
      <w:r w:rsidR="003F3E27" w:rsidRPr="00D71C6A">
        <w:rPr>
          <w:rFonts w:cs="Times New Roman"/>
          <w:szCs w:val="20"/>
        </w:rPr>
        <w:t>.</w:t>
      </w:r>
    </w:p>
    <w:p w14:paraId="7201BF55" w14:textId="77777777" w:rsidR="003F3E27" w:rsidRPr="00D71C6A" w:rsidRDefault="003F3E27" w:rsidP="00D71C6A">
      <w:pPr>
        <w:rPr>
          <w:rFonts w:cs="Times New Roman"/>
          <w:b/>
          <w:bCs/>
          <w:szCs w:val="20"/>
        </w:rPr>
      </w:pPr>
      <w:r w:rsidRPr="00D71C6A">
        <w:rPr>
          <w:rFonts w:cs="Times New Roman"/>
          <w:b/>
          <w:bCs/>
          <w:szCs w:val="20"/>
        </w:rPr>
        <w:t>Debt to Equity Ratio (DER)</w:t>
      </w:r>
    </w:p>
    <w:p w14:paraId="4AC41E28" w14:textId="6C85F7C6" w:rsidR="003F3E27" w:rsidRPr="00D71C6A" w:rsidRDefault="00FA3B4F" w:rsidP="00D71C6A">
      <w:pPr>
        <w:ind w:firstLine="426"/>
        <w:rPr>
          <w:rFonts w:cs="Times New Roman"/>
          <w:szCs w:val="20"/>
        </w:rPr>
      </w:pPr>
      <w:r w:rsidRPr="00D71C6A">
        <w:rPr>
          <w:rFonts w:cs="Times New Roman"/>
          <w:szCs w:val="20"/>
        </w:rPr>
        <w:t>The Debt to Equity Ratio (DER) evaluates the proportion between total debt and shareholders’ equity. This ratio reflects the company’s capital structure and financial leverage. A higher DER implies greater reliance on debt financing, which may increase the firm’s financial risk and reduce investor confidence. Conversely, a lower DER suggests a more stable and conservative capital structure, indicating that the company relies more on equity financing and maintains a healthier financial position. Such financial stability often enhances the company’s appeal to investors</w:t>
      </w:r>
      <w:r w:rsidRPr="00D71C6A">
        <w:rPr>
          <w:rFonts w:cs="Times New Roman"/>
          <w:b/>
          <w:bCs/>
          <w:szCs w:val="20"/>
        </w:rPr>
        <w:t xml:space="preserve"> </w:t>
      </w:r>
      <w:r w:rsidR="00B765F0" w:rsidRPr="00D71C6A">
        <w:rPr>
          <w:rFonts w:cs="Times New Roman"/>
          <w:szCs w:val="20"/>
        </w:rPr>
        <w:fldChar w:fldCharType="begin" w:fldLock="1"/>
      </w:r>
      <w:r w:rsidR="00B765F0" w:rsidRPr="00D71C6A">
        <w:rPr>
          <w:rFonts w:cs="Times New Roman"/>
          <w:szCs w:val="20"/>
        </w:rPr>
        <w:instrText>ADDIN CSL_CITATION {"citationItems":[{"id":"ITEM-1","itemData":{"author":[{"dropping-particle":"","family":"Sartono","given":"A","non-dropping-particle":"","parse-names":false,"suffix":""}],"id":"ITEM-1","issued":{"date-parts":[["0"]]},"publisher":"BPFE","publisher-place":"Yogyakarta","title":"Keuangan","type":"book"},"uris":["http://www.mendeley.com/documents/?uuid=5ccc3cec-d9af-4a4c-babd-34a5de8c7203"]}],"mendeley":{"formattedCitation":"(Sartono, n.d.)","manualFormatting":"(Sartono, n.d. 2019)","plainTextFormattedCitation":"(Sartono, n.d.)","previouslyFormattedCitation":"(Sartono, n.d.)"},"properties":{"noteIndex":0},"schema":"https://github.com/citation-style-language/schema/raw/master/csl-citation.json"}</w:instrText>
      </w:r>
      <w:r w:rsidR="00B765F0" w:rsidRPr="00D71C6A">
        <w:rPr>
          <w:rFonts w:cs="Times New Roman"/>
          <w:szCs w:val="20"/>
        </w:rPr>
        <w:fldChar w:fldCharType="separate"/>
      </w:r>
      <w:r w:rsidR="00B765F0" w:rsidRPr="00D71C6A">
        <w:rPr>
          <w:rFonts w:cs="Times New Roman"/>
          <w:szCs w:val="20"/>
        </w:rPr>
        <w:t>(Sartono, n.d. 2019)</w:t>
      </w:r>
      <w:r w:rsidR="00B765F0" w:rsidRPr="00D71C6A">
        <w:rPr>
          <w:rFonts w:cs="Times New Roman"/>
          <w:szCs w:val="20"/>
        </w:rPr>
        <w:fldChar w:fldCharType="end"/>
      </w:r>
      <w:r w:rsidR="003F3E27" w:rsidRPr="00D71C6A">
        <w:rPr>
          <w:rFonts w:cs="Times New Roman"/>
          <w:szCs w:val="20"/>
        </w:rPr>
        <w:t>.</w:t>
      </w:r>
    </w:p>
    <w:p w14:paraId="411C34A1" w14:textId="77777777" w:rsidR="00FA3B4F" w:rsidRPr="00D71C6A" w:rsidRDefault="00FA3B4F" w:rsidP="00D71C6A">
      <w:pPr>
        <w:rPr>
          <w:rFonts w:cs="Times New Roman"/>
          <w:b/>
          <w:bCs/>
          <w:szCs w:val="20"/>
        </w:rPr>
      </w:pPr>
      <w:r w:rsidRPr="00D71C6A">
        <w:rPr>
          <w:rFonts w:cs="Times New Roman"/>
          <w:b/>
          <w:bCs/>
          <w:szCs w:val="20"/>
        </w:rPr>
        <w:t>Stock Price</w:t>
      </w:r>
    </w:p>
    <w:p w14:paraId="1126291B" w14:textId="0BFC50BE" w:rsidR="00FA3B4F" w:rsidRPr="00D71C6A" w:rsidRDefault="00FA3B4F" w:rsidP="00D71C6A">
      <w:pPr>
        <w:ind w:firstLine="426"/>
        <w:rPr>
          <w:rFonts w:cs="Times New Roman"/>
          <w:szCs w:val="20"/>
        </w:rPr>
      </w:pPr>
      <w:r w:rsidRPr="00D71C6A">
        <w:rPr>
          <w:rFonts w:cs="Times New Roman"/>
          <w:szCs w:val="20"/>
        </w:rPr>
        <w:t>Stock price represents the market value of a company and embodies investor expectations toward its performance and future growth prospects. It serves as a key indicator of corporate value in the capital market. Stock prices are influenced by various factors, including financial fundamentals, macroeconomic conditions, and market sentiment (</w:t>
      </w:r>
      <w:r w:rsidRPr="00D71C6A">
        <w:rPr>
          <w:rFonts w:cs="Times New Roman"/>
          <w:szCs w:val="20"/>
        </w:rPr>
        <w:fldChar w:fldCharType="begin" w:fldLock="1"/>
      </w:r>
      <w:r w:rsidRPr="00D71C6A">
        <w:rPr>
          <w:rFonts w:cs="Times New Roman"/>
          <w:szCs w:val="20"/>
        </w:rPr>
        <w:instrText>ADDIN CSL_CITATION {"citationItems":[{"id":"ITEM-1","itemData":{"author":[{"dropping-particle":"","family":"Tannadi","given":"B","non-dropping-particle":"","parse-names":false,"suffix":""}],"id":"ITEM-1","issued":{"date-parts":[["2020"]]},"number-of-pages":"5","publisher":"Elex Media Komputindo.","publisher-place":"Jakarta","title":"Ilmu Saham: Pengenalan Saham","type":"book"},"uris":["http://www.mendeley.com/documents/?uuid=b0ee2fe4-4ce7-40d7-a647-62e08b62c37b"]}],"mendeley":{"formattedCitation":"(Tannadi, 2020)","manualFormatting":"Tannadi, 2020)","plainTextFormattedCitation":"(Tannadi, 2020)","previouslyFormattedCitation":"(Tannadi, 2020)"},"properties":{"noteIndex":0},"schema":"https://github.com/citation-style-language/schema/raw/master/csl-citation.json"}</w:instrText>
      </w:r>
      <w:r w:rsidRPr="00D71C6A">
        <w:rPr>
          <w:rFonts w:cs="Times New Roman"/>
          <w:szCs w:val="20"/>
        </w:rPr>
        <w:fldChar w:fldCharType="separate"/>
      </w:r>
      <w:r w:rsidRPr="00D71C6A">
        <w:rPr>
          <w:rFonts w:cs="Times New Roman"/>
          <w:szCs w:val="20"/>
        </w:rPr>
        <w:t>Tannadi, 2020)</w:t>
      </w:r>
      <w:r w:rsidRPr="00D71C6A">
        <w:rPr>
          <w:rFonts w:cs="Times New Roman"/>
          <w:szCs w:val="20"/>
        </w:rPr>
        <w:fldChar w:fldCharType="end"/>
      </w:r>
      <w:r w:rsidRPr="00D71C6A">
        <w:rPr>
          <w:rFonts w:cs="Times New Roman"/>
          <w:szCs w:val="20"/>
        </w:rPr>
        <w:t>. From a theoretical perspective, stock price movements reflect investors’ collective evaluation of the company’s profitability, risk profile, and overall market perception.</w:t>
      </w:r>
    </w:p>
    <w:p w14:paraId="6EA2CC81" w14:textId="4F191ACE" w:rsidR="00FA3B4F" w:rsidRPr="00D71C6A" w:rsidRDefault="00FA3B4F" w:rsidP="00D71C6A">
      <w:pPr>
        <w:rPr>
          <w:rFonts w:cs="Times New Roman"/>
          <w:b/>
          <w:bCs/>
          <w:szCs w:val="20"/>
        </w:rPr>
      </w:pPr>
      <w:r w:rsidRPr="00D71C6A">
        <w:rPr>
          <w:rFonts w:cs="Times New Roman"/>
          <w:b/>
          <w:bCs/>
          <w:szCs w:val="20"/>
        </w:rPr>
        <w:t>Financial Statements</w:t>
      </w:r>
    </w:p>
    <w:p w14:paraId="768C5F4E" w14:textId="72F49CA9" w:rsidR="00FA3B4F" w:rsidRPr="00D71C6A" w:rsidRDefault="00FA3B4F" w:rsidP="00D71C6A">
      <w:pPr>
        <w:ind w:firstLine="567"/>
        <w:rPr>
          <w:rFonts w:cs="Times New Roman"/>
          <w:szCs w:val="20"/>
        </w:rPr>
      </w:pPr>
      <w:r w:rsidRPr="00D71C6A">
        <w:rPr>
          <w:rFonts w:cs="Times New Roman"/>
          <w:szCs w:val="20"/>
        </w:rPr>
        <w:t xml:space="preserve">Financial statements represent a fundamental source of information used by investors to evaluate a company’s financial performance and overall stability. According to Ayulina </w:t>
      </w:r>
      <w:r w:rsidRPr="00D71C6A">
        <w:rPr>
          <w:rFonts w:cs="Times New Roman"/>
          <w:szCs w:val="20"/>
        </w:rPr>
        <w:fldChar w:fldCharType="begin" w:fldLock="1"/>
      </w:r>
      <w:r w:rsidR="00746872" w:rsidRPr="00D71C6A">
        <w:rPr>
          <w:rFonts w:cs="Times New Roman"/>
          <w:szCs w:val="20"/>
        </w:rPr>
        <w:instrText>ADDIN CSL_CITATION {"citationItems":[{"id":"ITEM-1","itemData":{"DOI":"10.33059/jensi.v7i1.7659","ISSN":"2615-1227","abstract":"This study aims to analyze how the influence of the quality of financial reports on Literasi Keuangan and the perceptions of MSME actors on the quality of financial reports, both directly and mediated by the application of SAK EMKM. The research method used is a quantitative method with a descriptive verification approach. The sample used is MSME actors in Bandung Regency. The sampling technique in this study was non-probability sampling with purposive sampling. The tool used in this study to analyze the relationship between variables is Partial Least Square (PLS) with SmartPLS 4.0. The results of the study show that Literasi Keuangan has no positive effect on the quality of financial reports. The perception of MSME actors does not have a positive impact on the quality of financial reports. Literasi Keuangan has a positive effect on the Penerapan SAK EMKM and Perceptions of MSME Actors have a positive effect on the Penerapan SAK EMKM. Furthermore, there is a positive influence from Literasi Keuangan on the quality of financial statements mediated by the application of SAK EMKM and a positive influence from the perceptions of MSME actors on the quality of financial reports mediated by the application of SAK EMKM.","author":[{"dropping-particle":"","family":"Ayulina Oktaviranti","given":"","non-dropping-particle":"","parse-names":false,"suffix":""},{"dropping-particle":"","family":"Muhammad Iqbal Alamsyah","given":"","non-dropping-particle":"","parse-names":false,"suffix":""}],"container-title":"Jurnal Penelitian Ekonomi Akuntansi (JENSI)","id":"ITEM-1","issue":"1","issued":{"date-parts":[["2023"]]},"page":"133-143","title":"Literasi Keuangan, Persepsi UMKM terhadap Kualitas Laporan Keuangan dengan Penerapan SAK EMKM","type":"article-journal","volume":"7"},"uris":["http://www.mendeley.com/documents/?uuid=90ef93b7-c134-4d2f-8bb7-005d76e38688"]}],"mendeley":{"formattedCitation":"(Ayulina Oktaviranti &amp; Muhammad Iqbal Alamsyah, 2023)","manualFormatting":"Ayulina Oktaviranti and Muhammad Iqbal Alamsyah (2023)","plainTextFormattedCitation":"(Ayulina Oktaviranti &amp; Muhammad Iqbal Alamsyah, 2023)","previouslyFormattedCitation":"(Ayulina Oktaviranti &amp; Muhammad Iqbal Alamsyah, 2023)"},"properties":{"noteIndex":0},"schema":"https://github.com/citation-style-language/schema/raw/master/csl-citation.json"}</w:instrText>
      </w:r>
      <w:r w:rsidRPr="00D71C6A">
        <w:rPr>
          <w:rFonts w:cs="Times New Roman"/>
          <w:szCs w:val="20"/>
        </w:rPr>
        <w:fldChar w:fldCharType="separate"/>
      </w:r>
      <w:r w:rsidRPr="00D71C6A">
        <w:rPr>
          <w:rFonts w:cs="Times New Roman"/>
          <w:szCs w:val="20"/>
        </w:rPr>
        <w:t>Ayulina Oktaviranti and Muhammad Iqbal Alamsyah (2023)</w:t>
      </w:r>
      <w:r w:rsidRPr="00D71C6A">
        <w:rPr>
          <w:rFonts w:cs="Times New Roman"/>
          <w:szCs w:val="20"/>
        </w:rPr>
        <w:fldChar w:fldCharType="end"/>
      </w:r>
      <w:r w:rsidRPr="00D71C6A">
        <w:rPr>
          <w:rFonts w:cs="Times New Roman"/>
          <w:szCs w:val="20"/>
        </w:rPr>
        <w:t xml:space="preserve">, financial statements are the outcome of a company’s routine operational activities that provide relevant financial information for various stakeholders. These reports not only reflect the company’s accountability and transparency but also serve as a critical tool for assessing managerial effectiveness in managing assets and generating profits. The higher the quality of the financial information presented, the greater the level of </w:t>
      </w:r>
      <w:r w:rsidRPr="00D71C6A">
        <w:rPr>
          <w:rFonts w:cs="Times New Roman"/>
          <w:szCs w:val="20"/>
        </w:rPr>
        <w:lastRenderedPageBreak/>
        <w:t>confidence external stakeholders have in assessing the company’s performance and sustainability, thereby fostering optimism about its ability to achieve consistent long-term growth.</w:t>
      </w:r>
    </w:p>
    <w:p w14:paraId="427C6F0C" w14:textId="77777777" w:rsidR="00D71C6A" w:rsidRDefault="00FA3B4F" w:rsidP="00D71C6A">
      <w:pPr>
        <w:ind w:firstLine="567"/>
        <w:rPr>
          <w:rFonts w:cs="Times New Roman"/>
          <w:szCs w:val="20"/>
        </w:rPr>
      </w:pPr>
      <w:r w:rsidRPr="00D71C6A">
        <w:rPr>
          <w:rFonts w:cs="Times New Roman"/>
          <w:szCs w:val="20"/>
        </w:rPr>
        <w:t>In essence, financial statements are a systematic summary of financial transactions compiled in accordance with established accounting principles to meet the informational needs of decision-makers. They typically consist of the income statement, balance sheet, statement of changes in equity, cash flow statement, and accompanying notes that collectively present a comprehensive picture of the company’s financial condition during a specific accounting period. High-quality financial reporting enhances credibility, strengthens investor trust, and facilitates more accurate predictions regarding future financial performance, all of which are crucial in shaping investment decisions and maintaining positive corporate reputation in the capital market.</w:t>
      </w:r>
    </w:p>
    <w:p w14:paraId="3B766F4C" w14:textId="77777777" w:rsidR="00D71C6A" w:rsidRDefault="00D71C6A" w:rsidP="00D71C6A">
      <w:pPr>
        <w:rPr>
          <w:rFonts w:cs="Times New Roman"/>
          <w:szCs w:val="20"/>
        </w:rPr>
      </w:pPr>
    </w:p>
    <w:p w14:paraId="09493F6D" w14:textId="313438DE" w:rsidR="0058735A" w:rsidRPr="00D71C6A" w:rsidRDefault="00746872" w:rsidP="00D71C6A">
      <w:pPr>
        <w:rPr>
          <w:rFonts w:cs="Times New Roman"/>
          <w:szCs w:val="20"/>
        </w:rPr>
      </w:pPr>
      <w:r w:rsidRPr="00D71C6A">
        <w:rPr>
          <w:rFonts w:cs="Times New Roman"/>
          <w:b/>
          <w:bCs/>
          <w:szCs w:val="20"/>
        </w:rPr>
        <w:t>Methodology</w:t>
      </w:r>
    </w:p>
    <w:p w14:paraId="48105373" w14:textId="7882E1BE" w:rsidR="00746872" w:rsidRPr="00D71C6A" w:rsidRDefault="00746872" w:rsidP="00D71C6A">
      <w:pPr>
        <w:pStyle w:val="NormalWeb"/>
        <w:spacing w:before="0" w:beforeAutospacing="0" w:after="0" w:afterAutospacing="0"/>
        <w:ind w:firstLine="426"/>
        <w:rPr>
          <w:noProof/>
          <w:sz w:val="20"/>
          <w:szCs w:val="20"/>
        </w:rPr>
      </w:pPr>
      <w:r w:rsidRPr="00D71C6A">
        <w:rPr>
          <w:noProof/>
          <w:sz w:val="20"/>
          <w:szCs w:val="20"/>
        </w:rPr>
        <w:t xml:space="preserve">This study employs a quantitative approach with an associative research design aimed at analyzing and testing the significant relationships among the studied variables </w:t>
      </w:r>
      <w:r w:rsidRPr="00D71C6A">
        <w:rPr>
          <w:noProof/>
          <w:sz w:val="20"/>
          <w:szCs w:val="20"/>
        </w:rPr>
        <w:fldChar w:fldCharType="begin" w:fldLock="1"/>
      </w:r>
      <w:r w:rsidR="003A4F73" w:rsidRPr="00D71C6A">
        <w:rPr>
          <w:noProof/>
          <w:sz w:val="20"/>
          <w:szCs w:val="20"/>
        </w:rPr>
        <w:instrText>ADDIN CSL_CITATION {"citationItems":[{"id":"ITEM-1","itemData":{"ISBN":"978-602-289-533-6","author":[{"dropping-particle":"","family":"Sugiyono","given":"","non-dropping-particle":"","parse-names":false,"suffix":""}],"edition":"Edisi kedu","editor":[{"dropping-particle":"","family":"Sutopo","given":"","non-dropping-particle":"","parse-names":false,"suffix":""}],"id":"ITEM-1","issued":{"date-parts":[["2024"]]},"publisher":"Alfabeta","publisher-place":"Bandung","title":"Metode Penelitian Kuantitatif Kualitatif dan R&amp;D","type":"book"},"uris":["http://www.mendeley.com/documents/?uuid=42ce78f4-5d00-4cb4-9357-193885aa1170"]}],"mendeley":{"formattedCitation":"(Sugiyono, 2024)","plainTextFormattedCitation":"(Sugiyono, 2024)","previouslyFormattedCitation":"(Sugiyono, 2024)"},"properties":{"noteIndex":0},"schema":"https://github.com/citation-style-language/schema/raw/master/csl-citation.json"}</w:instrText>
      </w:r>
      <w:r w:rsidRPr="00D71C6A">
        <w:rPr>
          <w:noProof/>
          <w:sz w:val="20"/>
          <w:szCs w:val="20"/>
        </w:rPr>
        <w:fldChar w:fldCharType="separate"/>
      </w:r>
      <w:r w:rsidRPr="00D71C6A">
        <w:rPr>
          <w:noProof/>
          <w:sz w:val="20"/>
          <w:szCs w:val="20"/>
        </w:rPr>
        <w:t>(Sugiyono, 2024)</w:t>
      </w:r>
      <w:r w:rsidRPr="00D71C6A">
        <w:rPr>
          <w:noProof/>
          <w:sz w:val="20"/>
          <w:szCs w:val="20"/>
        </w:rPr>
        <w:fldChar w:fldCharType="end"/>
      </w:r>
      <w:r w:rsidRPr="00D71C6A">
        <w:rPr>
          <w:noProof/>
          <w:sz w:val="20"/>
          <w:szCs w:val="20"/>
        </w:rPr>
        <w:t>. The research focuses on palm oil sub-sector companies listed on the Indonesia Stock Exchange (IDX) during the 2021–2023 period.</w:t>
      </w:r>
    </w:p>
    <w:p w14:paraId="355E2BE9" w14:textId="1E362AA6" w:rsidR="00746872" w:rsidRPr="00D71C6A" w:rsidRDefault="00746872" w:rsidP="00D71C6A">
      <w:pPr>
        <w:pStyle w:val="NormalWeb"/>
        <w:spacing w:before="0" w:beforeAutospacing="0" w:after="0" w:afterAutospacing="0"/>
        <w:ind w:firstLine="360"/>
        <w:rPr>
          <w:noProof/>
          <w:sz w:val="20"/>
          <w:szCs w:val="20"/>
        </w:rPr>
      </w:pPr>
      <w:r w:rsidRPr="00D71C6A">
        <w:rPr>
          <w:noProof/>
          <w:sz w:val="20"/>
          <w:szCs w:val="20"/>
        </w:rPr>
        <w:t>The study population consists of 24 palm oil sub-sector companies recorded on the IDX. From this population, 16 companies were selected as samples using a purposive sampling technique, which involves choosing samples based on specific criteria. The sampling criteria are as follows: (a) companies listed on the IDX and operating in the palm oil industry during the observation period of 2021–2023; (b) companies that consistently published complete annual financial statements throughout 2021–2023, including the research variablesReturn on Assets (ROA), Return on Equity (ROE), Net Profit Margin (NPM), Earnings per Share (EPS), Debt to Equity Ratio (DER), and year-end stock prices; (c) companies with actively traded stock prices during 2021–2023, with no missing data or trading inactivity; and (d) companies that were not delisted or temporarily suspended during the observation period.</w:t>
      </w:r>
    </w:p>
    <w:p w14:paraId="78C747E8" w14:textId="77777777" w:rsidR="00746872" w:rsidRPr="00D71C6A" w:rsidRDefault="00746872" w:rsidP="00D71C6A">
      <w:pPr>
        <w:pStyle w:val="NormalWeb"/>
        <w:spacing w:before="0" w:beforeAutospacing="0" w:after="0" w:afterAutospacing="0"/>
        <w:ind w:firstLine="360"/>
        <w:rPr>
          <w:noProof/>
          <w:sz w:val="20"/>
          <w:szCs w:val="20"/>
        </w:rPr>
      </w:pPr>
      <w:r w:rsidRPr="00D71C6A">
        <w:rPr>
          <w:noProof/>
          <w:sz w:val="20"/>
          <w:szCs w:val="20"/>
        </w:rPr>
        <w:t>Based on these criteria, 16 companies were selected as the research sample. With an observation period covering three years (2021–2023), the total number of data observations amounted to 48 (panel data). The study uses secondary data derived from the companies’ annual financial reports and year-end stock prices obtained from the official IDX website (</w:t>
      </w:r>
      <w:hyperlink r:id="rId8" w:history="1">
        <w:r w:rsidRPr="00D71C6A">
          <w:rPr>
            <w:rStyle w:val="Hyperlink"/>
            <w:rFonts w:eastAsiaTheme="majorEastAsia"/>
            <w:noProof/>
            <w:color w:val="auto"/>
            <w:sz w:val="20"/>
            <w:szCs w:val="20"/>
          </w:rPr>
          <w:t>www.idx.co.id</w:t>
        </w:r>
      </w:hyperlink>
      <w:r w:rsidRPr="00D71C6A">
        <w:rPr>
          <w:noProof/>
          <w:sz w:val="20"/>
          <w:szCs w:val="20"/>
        </w:rPr>
        <w:t>). Data collection was conducted through documentation review by analyzing balance sheets, income statements, and annual stock price data of the sampled companies.</w:t>
      </w:r>
    </w:p>
    <w:p w14:paraId="528BB98F" w14:textId="394557CC" w:rsidR="00EB2E5C" w:rsidRPr="00D71C6A" w:rsidRDefault="00746872" w:rsidP="00D71C6A">
      <w:pPr>
        <w:pStyle w:val="NormalWeb"/>
        <w:spacing w:before="0" w:beforeAutospacing="0" w:after="0" w:afterAutospacing="0"/>
        <w:ind w:firstLine="360"/>
        <w:rPr>
          <w:noProof/>
          <w:sz w:val="20"/>
          <w:szCs w:val="20"/>
        </w:rPr>
      </w:pPr>
      <w:r w:rsidRPr="00D71C6A">
        <w:rPr>
          <w:noProof/>
          <w:sz w:val="20"/>
          <w:szCs w:val="20"/>
        </w:rPr>
        <w:t>Data analysis was performed using multiple linear regression with the assistance of IBM SPSS Statistics version 25. Classical assumption tests including normality, multicollinearity, autocorrelation, and heteroscedasticity tests were applied to ensure the validity and reliability of the regression model used in this study.</w:t>
      </w:r>
    </w:p>
    <w:p w14:paraId="04D4A1EE" w14:textId="77777777" w:rsidR="00D71C6A" w:rsidRDefault="00D71C6A" w:rsidP="00D71C6A"/>
    <w:p w14:paraId="0B2D2629" w14:textId="2BC02192" w:rsidR="00EB2E5C" w:rsidRPr="00D71C6A" w:rsidRDefault="0042785A" w:rsidP="00D71C6A">
      <w:pPr>
        <w:rPr>
          <w:b/>
          <w:bCs/>
        </w:rPr>
      </w:pPr>
      <w:r w:rsidRPr="00D71C6A">
        <w:rPr>
          <w:b/>
          <w:bCs/>
        </w:rPr>
        <w:t>Results</w:t>
      </w:r>
    </w:p>
    <w:p w14:paraId="17DEBAA9" w14:textId="61975BA5" w:rsidR="0042785A" w:rsidRPr="00D71C6A" w:rsidRDefault="00774B14" w:rsidP="00D71C6A">
      <w:pPr>
        <w:rPr>
          <w:b/>
          <w:bCs/>
        </w:rPr>
      </w:pPr>
      <w:r w:rsidRPr="00D71C6A">
        <w:rPr>
          <w:b/>
          <w:bCs/>
        </w:rPr>
        <w:t>Deskriptiv</w:t>
      </w:r>
      <w:r w:rsidR="00E366D3" w:rsidRPr="00D71C6A">
        <w:rPr>
          <w:b/>
          <w:bCs/>
        </w:rPr>
        <w:t>e Analysis</w:t>
      </w:r>
    </w:p>
    <w:p w14:paraId="5C4C8395" w14:textId="6C54CA4D" w:rsidR="003D3377" w:rsidRPr="00D71C6A" w:rsidRDefault="00D71C6A" w:rsidP="00D71C6A">
      <w:pPr>
        <w:rPr>
          <w:b/>
          <w:bCs/>
        </w:rPr>
      </w:pPr>
      <w:r>
        <w:tab/>
      </w:r>
      <w:r w:rsidR="00E366D3" w:rsidRPr="00D71C6A">
        <w:t>The descriptive analysis aims to provide a general overview of the research data. A summary of the statistical calculation results is presented in the following table:</w:t>
      </w:r>
    </w:p>
    <w:p w14:paraId="7217CF95" w14:textId="77777777" w:rsidR="00D71C6A" w:rsidRDefault="00D71C6A" w:rsidP="00D71C6A">
      <w:pPr>
        <w:pStyle w:val="ListParagraph"/>
        <w:ind w:left="1440" w:firstLine="720"/>
        <w:contextualSpacing w:val="0"/>
        <w:rPr>
          <w:rFonts w:cs="Times New Roman"/>
          <w:szCs w:val="20"/>
        </w:rPr>
      </w:pPr>
    </w:p>
    <w:p w14:paraId="6B07A876" w14:textId="0BE1D793" w:rsidR="009C7AA2" w:rsidRPr="00D71C6A" w:rsidRDefault="0042785A" w:rsidP="00D71C6A">
      <w:pPr>
        <w:jc w:val="center"/>
      </w:pPr>
      <w:r w:rsidRPr="00D71C6A">
        <w:t>Table 1. Descriptive Statistics</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24"/>
        <w:gridCol w:w="1002"/>
        <w:gridCol w:w="1048"/>
        <w:gridCol w:w="1078"/>
        <w:gridCol w:w="1060"/>
        <w:gridCol w:w="1425"/>
      </w:tblGrid>
      <w:tr w:rsidR="00774B14" w:rsidRPr="00D71C6A" w14:paraId="1BF7F525" w14:textId="77777777" w:rsidTr="00D71C6A">
        <w:trPr>
          <w:cantSplit/>
          <w:trHeight w:val="282"/>
        </w:trPr>
        <w:tc>
          <w:tcPr>
            <w:tcW w:w="5000" w:type="pct"/>
            <w:gridSpan w:val="6"/>
            <w:shd w:val="clear" w:color="auto" w:fill="FFFFFF"/>
            <w:vAlign w:val="bottom"/>
          </w:tcPr>
          <w:p w14:paraId="200C8932"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b/>
                <w:bCs/>
                <w:color w:val="000000"/>
                <w:szCs w:val="20"/>
              </w:rPr>
              <w:t>Descriptive Statistics</w:t>
            </w:r>
          </w:p>
        </w:tc>
      </w:tr>
      <w:tr w:rsidR="00774B14" w:rsidRPr="00D71C6A" w14:paraId="632A8278" w14:textId="77777777" w:rsidTr="00D71C6A">
        <w:trPr>
          <w:cantSplit/>
          <w:trHeight w:val="282"/>
        </w:trPr>
        <w:tc>
          <w:tcPr>
            <w:tcW w:w="1464" w:type="pct"/>
            <w:shd w:val="clear" w:color="auto" w:fill="FFFFFF"/>
          </w:tcPr>
          <w:p w14:paraId="128445D7" w14:textId="77777777" w:rsidR="00774B14" w:rsidRPr="00D71C6A" w:rsidRDefault="00774B14" w:rsidP="00D71C6A">
            <w:pPr>
              <w:autoSpaceDE w:val="0"/>
              <w:autoSpaceDN w:val="0"/>
              <w:adjustRightInd w:val="0"/>
              <w:contextualSpacing/>
              <w:rPr>
                <w:rFonts w:cs="Times New Roman"/>
                <w:szCs w:val="20"/>
              </w:rPr>
            </w:pPr>
          </w:p>
        </w:tc>
        <w:tc>
          <w:tcPr>
            <w:tcW w:w="631" w:type="pct"/>
            <w:shd w:val="clear" w:color="auto" w:fill="FFFFFF"/>
          </w:tcPr>
          <w:p w14:paraId="777801D3"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N</w:t>
            </w:r>
          </w:p>
        </w:tc>
        <w:tc>
          <w:tcPr>
            <w:tcW w:w="660" w:type="pct"/>
            <w:shd w:val="clear" w:color="auto" w:fill="FFFFFF"/>
          </w:tcPr>
          <w:p w14:paraId="51EAE8BF"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Minimum</w:t>
            </w:r>
          </w:p>
        </w:tc>
        <w:tc>
          <w:tcPr>
            <w:tcW w:w="679" w:type="pct"/>
            <w:shd w:val="clear" w:color="auto" w:fill="FFFFFF"/>
          </w:tcPr>
          <w:p w14:paraId="3BEFD336"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Maximum</w:t>
            </w:r>
          </w:p>
        </w:tc>
        <w:tc>
          <w:tcPr>
            <w:tcW w:w="668" w:type="pct"/>
            <w:shd w:val="clear" w:color="auto" w:fill="FFFFFF"/>
          </w:tcPr>
          <w:p w14:paraId="7A8680B3"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Mean</w:t>
            </w:r>
          </w:p>
        </w:tc>
        <w:tc>
          <w:tcPr>
            <w:tcW w:w="898" w:type="pct"/>
            <w:shd w:val="clear" w:color="auto" w:fill="FFFFFF"/>
          </w:tcPr>
          <w:p w14:paraId="15045B2D"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Std. Deviation</w:t>
            </w:r>
          </w:p>
        </w:tc>
      </w:tr>
      <w:tr w:rsidR="00774B14" w:rsidRPr="00D71C6A" w14:paraId="48A78F64" w14:textId="77777777" w:rsidTr="00D71C6A">
        <w:trPr>
          <w:cantSplit/>
          <w:trHeight w:val="295"/>
        </w:trPr>
        <w:tc>
          <w:tcPr>
            <w:tcW w:w="1464" w:type="pct"/>
            <w:shd w:val="clear" w:color="auto" w:fill="FFFFFF"/>
            <w:vAlign w:val="center"/>
          </w:tcPr>
          <w:p w14:paraId="70DC2D7A"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ROA</w:t>
            </w:r>
          </w:p>
        </w:tc>
        <w:tc>
          <w:tcPr>
            <w:tcW w:w="631" w:type="pct"/>
            <w:shd w:val="clear" w:color="auto" w:fill="FFFFFF"/>
          </w:tcPr>
          <w:p w14:paraId="49C99323"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48</w:t>
            </w:r>
          </w:p>
        </w:tc>
        <w:tc>
          <w:tcPr>
            <w:tcW w:w="660" w:type="pct"/>
            <w:shd w:val="clear" w:color="auto" w:fill="FFFFFF"/>
          </w:tcPr>
          <w:p w14:paraId="551E7C42"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-11.00</w:t>
            </w:r>
          </w:p>
        </w:tc>
        <w:tc>
          <w:tcPr>
            <w:tcW w:w="679" w:type="pct"/>
            <w:shd w:val="clear" w:color="auto" w:fill="FFFFFF"/>
          </w:tcPr>
          <w:p w14:paraId="0D91C1F4"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14.00</w:t>
            </w:r>
          </w:p>
        </w:tc>
        <w:tc>
          <w:tcPr>
            <w:tcW w:w="668" w:type="pct"/>
            <w:shd w:val="clear" w:color="auto" w:fill="FFFFFF"/>
          </w:tcPr>
          <w:p w14:paraId="2BCA562E"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1.2324</w:t>
            </w:r>
          </w:p>
        </w:tc>
        <w:tc>
          <w:tcPr>
            <w:tcW w:w="898" w:type="pct"/>
            <w:shd w:val="clear" w:color="auto" w:fill="FFFFFF"/>
          </w:tcPr>
          <w:p w14:paraId="0C58E075"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3.27876</w:t>
            </w:r>
          </w:p>
        </w:tc>
      </w:tr>
      <w:tr w:rsidR="00774B14" w:rsidRPr="00D71C6A" w14:paraId="7708F2FC" w14:textId="77777777" w:rsidTr="00D71C6A">
        <w:trPr>
          <w:cantSplit/>
          <w:trHeight w:val="282"/>
        </w:trPr>
        <w:tc>
          <w:tcPr>
            <w:tcW w:w="1464" w:type="pct"/>
            <w:shd w:val="clear" w:color="auto" w:fill="FFFFFF"/>
            <w:vAlign w:val="center"/>
          </w:tcPr>
          <w:p w14:paraId="5F34D395"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ROE</w:t>
            </w:r>
          </w:p>
        </w:tc>
        <w:tc>
          <w:tcPr>
            <w:tcW w:w="631" w:type="pct"/>
            <w:shd w:val="clear" w:color="auto" w:fill="FFFFFF"/>
          </w:tcPr>
          <w:p w14:paraId="08A5D652"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48</w:t>
            </w:r>
          </w:p>
        </w:tc>
        <w:tc>
          <w:tcPr>
            <w:tcW w:w="660" w:type="pct"/>
            <w:shd w:val="clear" w:color="auto" w:fill="FFFFFF"/>
          </w:tcPr>
          <w:p w14:paraId="5D1BBD70"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-21.00</w:t>
            </w:r>
          </w:p>
        </w:tc>
        <w:tc>
          <w:tcPr>
            <w:tcW w:w="679" w:type="pct"/>
            <w:shd w:val="clear" w:color="auto" w:fill="FFFFFF"/>
          </w:tcPr>
          <w:p w14:paraId="0C3F4DA1"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25.00</w:t>
            </w:r>
          </w:p>
        </w:tc>
        <w:tc>
          <w:tcPr>
            <w:tcW w:w="668" w:type="pct"/>
            <w:shd w:val="clear" w:color="auto" w:fill="FFFFFF"/>
          </w:tcPr>
          <w:p w14:paraId="7391C817"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2.0976</w:t>
            </w:r>
          </w:p>
        </w:tc>
        <w:tc>
          <w:tcPr>
            <w:tcW w:w="898" w:type="pct"/>
            <w:shd w:val="clear" w:color="auto" w:fill="FFFFFF"/>
          </w:tcPr>
          <w:p w14:paraId="3AB619CF"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6.10342</w:t>
            </w:r>
          </w:p>
        </w:tc>
      </w:tr>
      <w:tr w:rsidR="00774B14" w:rsidRPr="00D71C6A" w14:paraId="651FEA4E" w14:textId="77777777" w:rsidTr="00D71C6A">
        <w:trPr>
          <w:cantSplit/>
          <w:trHeight w:val="295"/>
        </w:trPr>
        <w:tc>
          <w:tcPr>
            <w:tcW w:w="1464" w:type="pct"/>
            <w:shd w:val="clear" w:color="auto" w:fill="FFFFFF"/>
            <w:vAlign w:val="center"/>
          </w:tcPr>
          <w:p w14:paraId="2D5EB71E"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NPM</w:t>
            </w:r>
          </w:p>
        </w:tc>
        <w:tc>
          <w:tcPr>
            <w:tcW w:w="631" w:type="pct"/>
            <w:shd w:val="clear" w:color="auto" w:fill="FFFFFF"/>
          </w:tcPr>
          <w:p w14:paraId="25A3C042"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48</w:t>
            </w:r>
          </w:p>
        </w:tc>
        <w:tc>
          <w:tcPr>
            <w:tcW w:w="660" w:type="pct"/>
            <w:shd w:val="clear" w:color="auto" w:fill="FFFFFF"/>
          </w:tcPr>
          <w:p w14:paraId="16136CF6"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-27.00</w:t>
            </w:r>
          </w:p>
        </w:tc>
        <w:tc>
          <w:tcPr>
            <w:tcW w:w="679" w:type="pct"/>
            <w:shd w:val="clear" w:color="auto" w:fill="FFFFFF"/>
          </w:tcPr>
          <w:p w14:paraId="0247C9B3"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25.00</w:t>
            </w:r>
          </w:p>
        </w:tc>
        <w:tc>
          <w:tcPr>
            <w:tcW w:w="668" w:type="pct"/>
            <w:shd w:val="clear" w:color="auto" w:fill="FFFFFF"/>
          </w:tcPr>
          <w:p w14:paraId="17119193"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2.9396</w:t>
            </w:r>
          </w:p>
        </w:tc>
        <w:tc>
          <w:tcPr>
            <w:tcW w:w="898" w:type="pct"/>
            <w:shd w:val="clear" w:color="auto" w:fill="FFFFFF"/>
          </w:tcPr>
          <w:p w14:paraId="180A7B11"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7.71040</w:t>
            </w:r>
          </w:p>
        </w:tc>
      </w:tr>
      <w:tr w:rsidR="00774B14" w:rsidRPr="00D71C6A" w14:paraId="11271C91" w14:textId="77777777" w:rsidTr="00D71C6A">
        <w:trPr>
          <w:cantSplit/>
          <w:trHeight w:val="295"/>
        </w:trPr>
        <w:tc>
          <w:tcPr>
            <w:tcW w:w="1464" w:type="pct"/>
            <w:shd w:val="clear" w:color="auto" w:fill="FFFFFF"/>
            <w:vAlign w:val="center"/>
          </w:tcPr>
          <w:p w14:paraId="146C95D8"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EPS</w:t>
            </w:r>
          </w:p>
        </w:tc>
        <w:tc>
          <w:tcPr>
            <w:tcW w:w="631" w:type="pct"/>
            <w:shd w:val="clear" w:color="auto" w:fill="FFFFFF"/>
          </w:tcPr>
          <w:p w14:paraId="24BD3B57"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48</w:t>
            </w:r>
          </w:p>
        </w:tc>
        <w:tc>
          <w:tcPr>
            <w:tcW w:w="660" w:type="pct"/>
            <w:shd w:val="clear" w:color="auto" w:fill="FFFFFF"/>
          </w:tcPr>
          <w:p w14:paraId="0A9A311B"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-65.80</w:t>
            </w:r>
          </w:p>
        </w:tc>
        <w:tc>
          <w:tcPr>
            <w:tcW w:w="679" w:type="pct"/>
            <w:shd w:val="clear" w:color="auto" w:fill="FFFFFF"/>
          </w:tcPr>
          <w:p w14:paraId="585A8AA2"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893.50</w:t>
            </w:r>
          </w:p>
        </w:tc>
        <w:tc>
          <w:tcPr>
            <w:tcW w:w="668" w:type="pct"/>
            <w:shd w:val="clear" w:color="auto" w:fill="FFFFFF"/>
          </w:tcPr>
          <w:p w14:paraId="2485610A"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132.1775</w:t>
            </w:r>
          </w:p>
        </w:tc>
        <w:tc>
          <w:tcPr>
            <w:tcW w:w="898" w:type="pct"/>
            <w:shd w:val="clear" w:color="auto" w:fill="FFFFFF"/>
          </w:tcPr>
          <w:p w14:paraId="2BE87D99"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228.54776</w:t>
            </w:r>
          </w:p>
        </w:tc>
      </w:tr>
      <w:tr w:rsidR="00774B14" w:rsidRPr="00D71C6A" w14:paraId="28E15984" w14:textId="77777777" w:rsidTr="00D71C6A">
        <w:trPr>
          <w:cantSplit/>
          <w:trHeight w:val="282"/>
        </w:trPr>
        <w:tc>
          <w:tcPr>
            <w:tcW w:w="1464" w:type="pct"/>
            <w:shd w:val="clear" w:color="auto" w:fill="FFFFFF"/>
            <w:vAlign w:val="center"/>
          </w:tcPr>
          <w:p w14:paraId="247FB32E"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DER</w:t>
            </w:r>
          </w:p>
        </w:tc>
        <w:tc>
          <w:tcPr>
            <w:tcW w:w="631" w:type="pct"/>
            <w:shd w:val="clear" w:color="auto" w:fill="FFFFFF"/>
          </w:tcPr>
          <w:p w14:paraId="5209B0A5"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48</w:t>
            </w:r>
          </w:p>
        </w:tc>
        <w:tc>
          <w:tcPr>
            <w:tcW w:w="660" w:type="pct"/>
            <w:shd w:val="clear" w:color="auto" w:fill="FFFFFF"/>
          </w:tcPr>
          <w:p w14:paraId="58CA87FA"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-2.13</w:t>
            </w:r>
          </w:p>
        </w:tc>
        <w:tc>
          <w:tcPr>
            <w:tcW w:w="679" w:type="pct"/>
            <w:shd w:val="clear" w:color="auto" w:fill="FFFFFF"/>
          </w:tcPr>
          <w:p w14:paraId="6CCF5A15"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6.11</w:t>
            </w:r>
          </w:p>
        </w:tc>
        <w:tc>
          <w:tcPr>
            <w:tcW w:w="668" w:type="pct"/>
            <w:shd w:val="clear" w:color="auto" w:fill="FFFFFF"/>
          </w:tcPr>
          <w:p w14:paraId="69BFD6C8"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1.1010</w:t>
            </w:r>
          </w:p>
        </w:tc>
        <w:tc>
          <w:tcPr>
            <w:tcW w:w="898" w:type="pct"/>
            <w:shd w:val="clear" w:color="auto" w:fill="FFFFFF"/>
          </w:tcPr>
          <w:p w14:paraId="7F9F99EF"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1.34995</w:t>
            </w:r>
          </w:p>
        </w:tc>
      </w:tr>
      <w:tr w:rsidR="00774B14" w:rsidRPr="00D71C6A" w14:paraId="6E2FE6D2" w14:textId="77777777" w:rsidTr="00D71C6A">
        <w:trPr>
          <w:cantSplit/>
          <w:trHeight w:val="295"/>
        </w:trPr>
        <w:tc>
          <w:tcPr>
            <w:tcW w:w="1464" w:type="pct"/>
            <w:shd w:val="clear" w:color="auto" w:fill="FFFFFF"/>
            <w:vAlign w:val="center"/>
          </w:tcPr>
          <w:p w14:paraId="6833E1CF"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Harga Saham</w:t>
            </w:r>
          </w:p>
        </w:tc>
        <w:tc>
          <w:tcPr>
            <w:tcW w:w="631" w:type="pct"/>
            <w:shd w:val="clear" w:color="auto" w:fill="FFFFFF"/>
          </w:tcPr>
          <w:p w14:paraId="296ABFA2"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48</w:t>
            </w:r>
          </w:p>
        </w:tc>
        <w:tc>
          <w:tcPr>
            <w:tcW w:w="660" w:type="pct"/>
            <w:shd w:val="clear" w:color="auto" w:fill="FFFFFF"/>
          </w:tcPr>
          <w:p w14:paraId="7F465FDF"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50</w:t>
            </w:r>
          </w:p>
        </w:tc>
        <w:tc>
          <w:tcPr>
            <w:tcW w:w="679" w:type="pct"/>
            <w:shd w:val="clear" w:color="auto" w:fill="FFFFFF"/>
          </w:tcPr>
          <w:p w14:paraId="49D8ECCA"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9500</w:t>
            </w:r>
          </w:p>
        </w:tc>
        <w:tc>
          <w:tcPr>
            <w:tcW w:w="668" w:type="pct"/>
            <w:shd w:val="clear" w:color="auto" w:fill="FFFFFF"/>
          </w:tcPr>
          <w:p w14:paraId="2200E81D"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1457.48</w:t>
            </w:r>
          </w:p>
        </w:tc>
        <w:tc>
          <w:tcPr>
            <w:tcW w:w="898" w:type="pct"/>
            <w:shd w:val="clear" w:color="auto" w:fill="FFFFFF"/>
          </w:tcPr>
          <w:p w14:paraId="17D55523"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2235.677</w:t>
            </w:r>
          </w:p>
        </w:tc>
      </w:tr>
      <w:tr w:rsidR="00774B14" w:rsidRPr="00D71C6A" w14:paraId="69939947" w14:textId="77777777" w:rsidTr="00D71C6A">
        <w:trPr>
          <w:cantSplit/>
          <w:trHeight w:val="282"/>
        </w:trPr>
        <w:tc>
          <w:tcPr>
            <w:tcW w:w="1464" w:type="pct"/>
            <w:shd w:val="clear" w:color="auto" w:fill="FFFFFF"/>
            <w:vAlign w:val="center"/>
          </w:tcPr>
          <w:p w14:paraId="3EB6EE97"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Valid N (listwise)</w:t>
            </w:r>
          </w:p>
        </w:tc>
        <w:tc>
          <w:tcPr>
            <w:tcW w:w="631" w:type="pct"/>
            <w:shd w:val="clear" w:color="auto" w:fill="FFFFFF"/>
          </w:tcPr>
          <w:p w14:paraId="0AEBEAB4"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48</w:t>
            </w:r>
          </w:p>
        </w:tc>
        <w:tc>
          <w:tcPr>
            <w:tcW w:w="660" w:type="pct"/>
            <w:shd w:val="clear" w:color="auto" w:fill="FFFFFF"/>
          </w:tcPr>
          <w:p w14:paraId="1797B8AF" w14:textId="77777777" w:rsidR="00774B14" w:rsidRPr="00D71C6A" w:rsidRDefault="00774B14" w:rsidP="00D71C6A">
            <w:pPr>
              <w:autoSpaceDE w:val="0"/>
              <w:autoSpaceDN w:val="0"/>
              <w:adjustRightInd w:val="0"/>
              <w:contextualSpacing/>
              <w:rPr>
                <w:rFonts w:cs="Times New Roman"/>
                <w:szCs w:val="20"/>
              </w:rPr>
            </w:pPr>
          </w:p>
        </w:tc>
        <w:tc>
          <w:tcPr>
            <w:tcW w:w="679" w:type="pct"/>
            <w:shd w:val="clear" w:color="auto" w:fill="FFFFFF"/>
          </w:tcPr>
          <w:p w14:paraId="3294DB61" w14:textId="77777777" w:rsidR="00774B14" w:rsidRPr="00D71C6A" w:rsidRDefault="00774B14" w:rsidP="00D71C6A">
            <w:pPr>
              <w:autoSpaceDE w:val="0"/>
              <w:autoSpaceDN w:val="0"/>
              <w:adjustRightInd w:val="0"/>
              <w:contextualSpacing/>
              <w:rPr>
                <w:rFonts w:cs="Times New Roman"/>
                <w:szCs w:val="20"/>
              </w:rPr>
            </w:pPr>
          </w:p>
        </w:tc>
        <w:tc>
          <w:tcPr>
            <w:tcW w:w="668" w:type="pct"/>
            <w:shd w:val="clear" w:color="auto" w:fill="FFFFFF"/>
          </w:tcPr>
          <w:p w14:paraId="13B0EEDC" w14:textId="77777777" w:rsidR="00774B14" w:rsidRPr="00D71C6A" w:rsidRDefault="00774B14" w:rsidP="00D71C6A">
            <w:pPr>
              <w:autoSpaceDE w:val="0"/>
              <w:autoSpaceDN w:val="0"/>
              <w:adjustRightInd w:val="0"/>
              <w:contextualSpacing/>
              <w:rPr>
                <w:rFonts w:cs="Times New Roman"/>
                <w:szCs w:val="20"/>
              </w:rPr>
            </w:pPr>
          </w:p>
        </w:tc>
        <w:tc>
          <w:tcPr>
            <w:tcW w:w="898" w:type="pct"/>
            <w:shd w:val="clear" w:color="auto" w:fill="FFFFFF"/>
          </w:tcPr>
          <w:p w14:paraId="05C82081" w14:textId="77777777" w:rsidR="00774B14" w:rsidRPr="00D71C6A" w:rsidRDefault="00774B14" w:rsidP="00D71C6A">
            <w:pPr>
              <w:autoSpaceDE w:val="0"/>
              <w:autoSpaceDN w:val="0"/>
              <w:adjustRightInd w:val="0"/>
              <w:contextualSpacing/>
              <w:rPr>
                <w:rFonts w:cs="Times New Roman"/>
                <w:szCs w:val="20"/>
              </w:rPr>
            </w:pPr>
          </w:p>
        </w:tc>
      </w:tr>
    </w:tbl>
    <w:p w14:paraId="271B134F" w14:textId="33BFA564" w:rsidR="00774B14" w:rsidRPr="00D71C6A" w:rsidRDefault="00E366D3" w:rsidP="00D71C6A">
      <w:pPr>
        <w:autoSpaceDE w:val="0"/>
        <w:autoSpaceDN w:val="0"/>
        <w:adjustRightInd w:val="0"/>
        <w:ind w:left="720"/>
        <w:rPr>
          <w:rFonts w:cs="Times New Roman"/>
          <w:szCs w:val="20"/>
        </w:rPr>
      </w:pPr>
      <w:r w:rsidRPr="00D71C6A">
        <w:rPr>
          <w:rFonts w:cs="Times New Roman"/>
          <w:szCs w:val="20"/>
        </w:rPr>
        <w:t>Source: SPSS data processing results, 2025</w:t>
      </w:r>
    </w:p>
    <w:p w14:paraId="1B041FE8" w14:textId="77777777" w:rsidR="00D71C6A" w:rsidRDefault="00D71C6A" w:rsidP="00D71C6A"/>
    <w:p w14:paraId="6B9F4607" w14:textId="0848DA28" w:rsidR="00E366D3" w:rsidRPr="00D71C6A" w:rsidRDefault="00D71C6A" w:rsidP="00D71C6A">
      <w:r>
        <w:lastRenderedPageBreak/>
        <w:tab/>
      </w:r>
      <w:r w:rsidR="00E366D3" w:rsidRPr="00D71C6A">
        <w:t>In general, the EPS variable demonstrates the highest mean and greatest variability (Standard Deviation), while the DER remains relatively stable, centered around the value of 1.</w:t>
      </w:r>
    </w:p>
    <w:p w14:paraId="26CDB962" w14:textId="77777777" w:rsidR="00D71C6A" w:rsidRDefault="00D71C6A" w:rsidP="00D71C6A"/>
    <w:p w14:paraId="733298C4" w14:textId="6DE5DFF5" w:rsidR="00E366D3" w:rsidRPr="00D71C6A" w:rsidRDefault="00E366D3" w:rsidP="00D71C6A">
      <w:pPr>
        <w:rPr>
          <w:b/>
          <w:bCs/>
        </w:rPr>
      </w:pPr>
      <w:r w:rsidRPr="00D71C6A">
        <w:rPr>
          <w:b/>
          <w:bCs/>
        </w:rPr>
        <w:t>Multiple Linear Regression Analysis</w:t>
      </w:r>
    </w:p>
    <w:p w14:paraId="6595E00B" w14:textId="4D6D90AA" w:rsidR="003D3377" w:rsidRPr="00D71C6A" w:rsidRDefault="00286187" w:rsidP="00286187">
      <w:r>
        <w:tab/>
      </w:r>
      <w:r w:rsidR="00E366D3" w:rsidRPr="00D71C6A">
        <w:t xml:space="preserve">The multiple linear regression model was utilized to test the influence of ROA, ROE, NPM, EPS, and DER on the Stock Price. The results of the analysis are presented in the following table: </w:t>
      </w:r>
    </w:p>
    <w:p w14:paraId="49FF507E" w14:textId="77777777" w:rsidR="00286187" w:rsidRDefault="00286187" w:rsidP="00286187">
      <w:pPr>
        <w:jc w:val="center"/>
      </w:pPr>
    </w:p>
    <w:p w14:paraId="7FCA2CEA" w14:textId="7F53B979" w:rsidR="00E366D3" w:rsidRPr="00D71C6A" w:rsidRDefault="00E366D3" w:rsidP="00286187">
      <w:pPr>
        <w:jc w:val="center"/>
      </w:pPr>
      <w:r w:rsidRPr="00D71C6A">
        <w:t>Table 2. Multiple Linear Regression</w:t>
      </w:r>
    </w:p>
    <w:tbl>
      <w:tblPr>
        <w:tblStyle w:val="Style1"/>
        <w:tblW w:w="5000" w:type="pct"/>
        <w:tblLook w:val="0000" w:firstRow="0" w:lastRow="0" w:firstColumn="0" w:lastColumn="0" w:noHBand="0" w:noVBand="0"/>
      </w:tblPr>
      <w:tblGrid>
        <w:gridCol w:w="663"/>
        <w:gridCol w:w="1181"/>
        <w:gridCol w:w="1331"/>
        <w:gridCol w:w="1331"/>
        <w:gridCol w:w="1470"/>
        <w:gridCol w:w="976"/>
        <w:gridCol w:w="985"/>
      </w:tblGrid>
      <w:tr w:rsidR="00774B14" w:rsidRPr="00D71C6A" w14:paraId="6CA9C439" w14:textId="77777777" w:rsidTr="00286187">
        <w:trPr>
          <w:trHeight w:val="230"/>
        </w:trPr>
        <w:tc>
          <w:tcPr>
            <w:tcW w:w="5000" w:type="pct"/>
            <w:gridSpan w:val="7"/>
          </w:tcPr>
          <w:p w14:paraId="66768A6F"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b/>
                <w:bCs/>
                <w:color w:val="000000"/>
                <w:szCs w:val="20"/>
              </w:rPr>
              <w:t>Coefficients</w:t>
            </w:r>
            <w:r w:rsidRPr="00D71C6A">
              <w:rPr>
                <w:rFonts w:cs="Times New Roman"/>
                <w:b/>
                <w:bCs/>
                <w:color w:val="000000"/>
                <w:szCs w:val="20"/>
                <w:vertAlign w:val="superscript"/>
              </w:rPr>
              <w:t>a</w:t>
            </w:r>
          </w:p>
        </w:tc>
      </w:tr>
      <w:tr w:rsidR="00774B14" w:rsidRPr="00D71C6A" w14:paraId="0726978E" w14:textId="77777777" w:rsidTr="00286187">
        <w:trPr>
          <w:trHeight w:val="444"/>
        </w:trPr>
        <w:tc>
          <w:tcPr>
            <w:tcW w:w="1155" w:type="pct"/>
            <w:gridSpan w:val="2"/>
            <w:vMerge w:val="restart"/>
          </w:tcPr>
          <w:p w14:paraId="47D9C13B"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Model</w:t>
            </w:r>
          </w:p>
        </w:tc>
        <w:tc>
          <w:tcPr>
            <w:tcW w:w="1680" w:type="pct"/>
            <w:gridSpan w:val="2"/>
          </w:tcPr>
          <w:p w14:paraId="07D6DE76"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Unstandardized Coefficients</w:t>
            </w:r>
          </w:p>
        </w:tc>
        <w:tc>
          <w:tcPr>
            <w:tcW w:w="927" w:type="pct"/>
          </w:tcPr>
          <w:p w14:paraId="5921092A"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Standardized Coefficients</w:t>
            </w:r>
          </w:p>
        </w:tc>
        <w:tc>
          <w:tcPr>
            <w:tcW w:w="616" w:type="pct"/>
            <w:vMerge w:val="restart"/>
          </w:tcPr>
          <w:p w14:paraId="63698837"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t</w:t>
            </w:r>
          </w:p>
        </w:tc>
        <w:tc>
          <w:tcPr>
            <w:tcW w:w="622" w:type="pct"/>
            <w:vMerge w:val="restart"/>
          </w:tcPr>
          <w:p w14:paraId="629B9EC3"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Sig.</w:t>
            </w:r>
          </w:p>
        </w:tc>
      </w:tr>
      <w:tr w:rsidR="00774B14" w:rsidRPr="00D71C6A" w14:paraId="5830E95E" w14:textId="77777777" w:rsidTr="00286187">
        <w:trPr>
          <w:trHeight w:val="176"/>
        </w:trPr>
        <w:tc>
          <w:tcPr>
            <w:tcW w:w="1155" w:type="pct"/>
            <w:gridSpan w:val="2"/>
            <w:vMerge/>
          </w:tcPr>
          <w:p w14:paraId="6E90C799" w14:textId="77777777" w:rsidR="00774B14" w:rsidRPr="00D71C6A" w:rsidRDefault="00774B14" w:rsidP="00D71C6A">
            <w:pPr>
              <w:autoSpaceDE w:val="0"/>
              <w:autoSpaceDN w:val="0"/>
              <w:adjustRightInd w:val="0"/>
              <w:contextualSpacing/>
              <w:rPr>
                <w:rFonts w:cs="Times New Roman"/>
                <w:color w:val="000000"/>
                <w:szCs w:val="20"/>
              </w:rPr>
            </w:pPr>
          </w:p>
        </w:tc>
        <w:tc>
          <w:tcPr>
            <w:tcW w:w="840" w:type="pct"/>
          </w:tcPr>
          <w:p w14:paraId="43462E72"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B</w:t>
            </w:r>
          </w:p>
        </w:tc>
        <w:tc>
          <w:tcPr>
            <w:tcW w:w="840" w:type="pct"/>
          </w:tcPr>
          <w:p w14:paraId="76709A9C"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Std. Error</w:t>
            </w:r>
          </w:p>
        </w:tc>
        <w:tc>
          <w:tcPr>
            <w:tcW w:w="927" w:type="pct"/>
          </w:tcPr>
          <w:p w14:paraId="58E852A6" w14:textId="77777777" w:rsidR="00774B14" w:rsidRPr="00D71C6A" w:rsidRDefault="00774B14"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Beta</w:t>
            </w:r>
          </w:p>
        </w:tc>
        <w:tc>
          <w:tcPr>
            <w:tcW w:w="616" w:type="pct"/>
            <w:vMerge/>
          </w:tcPr>
          <w:p w14:paraId="63B78D6F" w14:textId="77777777" w:rsidR="00774B14" w:rsidRPr="00D71C6A" w:rsidRDefault="00774B14" w:rsidP="00D71C6A">
            <w:pPr>
              <w:autoSpaceDE w:val="0"/>
              <w:autoSpaceDN w:val="0"/>
              <w:adjustRightInd w:val="0"/>
              <w:contextualSpacing/>
              <w:rPr>
                <w:rFonts w:cs="Times New Roman"/>
                <w:color w:val="000000"/>
                <w:szCs w:val="20"/>
              </w:rPr>
            </w:pPr>
          </w:p>
        </w:tc>
        <w:tc>
          <w:tcPr>
            <w:tcW w:w="622" w:type="pct"/>
            <w:vMerge/>
          </w:tcPr>
          <w:p w14:paraId="13B9C114" w14:textId="77777777" w:rsidR="00774B14" w:rsidRPr="00D71C6A" w:rsidRDefault="00774B14" w:rsidP="00D71C6A">
            <w:pPr>
              <w:autoSpaceDE w:val="0"/>
              <w:autoSpaceDN w:val="0"/>
              <w:adjustRightInd w:val="0"/>
              <w:contextualSpacing/>
              <w:rPr>
                <w:rFonts w:cs="Times New Roman"/>
                <w:color w:val="000000"/>
                <w:szCs w:val="20"/>
              </w:rPr>
            </w:pPr>
          </w:p>
        </w:tc>
      </w:tr>
      <w:tr w:rsidR="00774B14" w:rsidRPr="00D71C6A" w14:paraId="5B2EB9C6" w14:textId="77777777" w:rsidTr="00286187">
        <w:trPr>
          <w:trHeight w:val="230"/>
        </w:trPr>
        <w:tc>
          <w:tcPr>
            <w:tcW w:w="419" w:type="pct"/>
            <w:vMerge w:val="restart"/>
          </w:tcPr>
          <w:p w14:paraId="67759177"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1</w:t>
            </w:r>
          </w:p>
        </w:tc>
        <w:tc>
          <w:tcPr>
            <w:tcW w:w="736" w:type="pct"/>
          </w:tcPr>
          <w:p w14:paraId="245A65AA"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(Constant)</w:t>
            </w:r>
          </w:p>
        </w:tc>
        <w:tc>
          <w:tcPr>
            <w:tcW w:w="840" w:type="pct"/>
          </w:tcPr>
          <w:p w14:paraId="3AFADFA8"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356.286</w:t>
            </w:r>
          </w:p>
        </w:tc>
        <w:tc>
          <w:tcPr>
            <w:tcW w:w="840" w:type="pct"/>
          </w:tcPr>
          <w:p w14:paraId="45631303"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337.284</w:t>
            </w:r>
          </w:p>
        </w:tc>
        <w:tc>
          <w:tcPr>
            <w:tcW w:w="927" w:type="pct"/>
          </w:tcPr>
          <w:p w14:paraId="04DD31E9" w14:textId="77777777" w:rsidR="00774B14" w:rsidRPr="00D71C6A" w:rsidRDefault="00774B14" w:rsidP="00D71C6A">
            <w:pPr>
              <w:autoSpaceDE w:val="0"/>
              <w:autoSpaceDN w:val="0"/>
              <w:adjustRightInd w:val="0"/>
              <w:contextualSpacing/>
              <w:rPr>
                <w:rFonts w:cs="Times New Roman"/>
                <w:szCs w:val="20"/>
              </w:rPr>
            </w:pPr>
          </w:p>
        </w:tc>
        <w:tc>
          <w:tcPr>
            <w:tcW w:w="616" w:type="pct"/>
          </w:tcPr>
          <w:p w14:paraId="34D066A0"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1.056</w:t>
            </w:r>
          </w:p>
        </w:tc>
        <w:tc>
          <w:tcPr>
            <w:tcW w:w="622" w:type="pct"/>
          </w:tcPr>
          <w:p w14:paraId="39FDDDB2"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.001</w:t>
            </w:r>
          </w:p>
        </w:tc>
      </w:tr>
      <w:tr w:rsidR="00774B14" w:rsidRPr="00D71C6A" w14:paraId="6F2FAB0D" w14:textId="77777777" w:rsidTr="00286187">
        <w:trPr>
          <w:trHeight w:val="176"/>
        </w:trPr>
        <w:tc>
          <w:tcPr>
            <w:tcW w:w="419" w:type="pct"/>
            <w:vMerge/>
          </w:tcPr>
          <w:p w14:paraId="2A99BF0B" w14:textId="77777777" w:rsidR="00774B14" w:rsidRPr="00D71C6A" w:rsidRDefault="00774B14" w:rsidP="00D71C6A">
            <w:pPr>
              <w:autoSpaceDE w:val="0"/>
              <w:autoSpaceDN w:val="0"/>
              <w:adjustRightInd w:val="0"/>
              <w:contextualSpacing/>
              <w:rPr>
                <w:rFonts w:cs="Times New Roman"/>
                <w:color w:val="000000"/>
                <w:szCs w:val="20"/>
              </w:rPr>
            </w:pPr>
          </w:p>
        </w:tc>
        <w:tc>
          <w:tcPr>
            <w:tcW w:w="736" w:type="pct"/>
          </w:tcPr>
          <w:p w14:paraId="6742C1DD"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ROA</w:t>
            </w:r>
          </w:p>
        </w:tc>
        <w:tc>
          <w:tcPr>
            <w:tcW w:w="840" w:type="pct"/>
          </w:tcPr>
          <w:p w14:paraId="07143652"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-242.355</w:t>
            </w:r>
          </w:p>
        </w:tc>
        <w:tc>
          <w:tcPr>
            <w:tcW w:w="840" w:type="pct"/>
          </w:tcPr>
          <w:p w14:paraId="2D74A502"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306.197</w:t>
            </w:r>
          </w:p>
        </w:tc>
        <w:tc>
          <w:tcPr>
            <w:tcW w:w="927" w:type="pct"/>
          </w:tcPr>
          <w:p w14:paraId="6EEB008F"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-.355</w:t>
            </w:r>
          </w:p>
        </w:tc>
        <w:tc>
          <w:tcPr>
            <w:tcW w:w="616" w:type="pct"/>
          </w:tcPr>
          <w:p w14:paraId="48816F0D"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-.792</w:t>
            </w:r>
          </w:p>
        </w:tc>
        <w:tc>
          <w:tcPr>
            <w:tcW w:w="622" w:type="pct"/>
          </w:tcPr>
          <w:p w14:paraId="288E1E5D"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.003</w:t>
            </w:r>
          </w:p>
        </w:tc>
      </w:tr>
      <w:tr w:rsidR="00774B14" w:rsidRPr="00D71C6A" w14:paraId="32C9368A" w14:textId="77777777" w:rsidTr="00286187">
        <w:trPr>
          <w:trHeight w:val="176"/>
        </w:trPr>
        <w:tc>
          <w:tcPr>
            <w:tcW w:w="419" w:type="pct"/>
            <w:vMerge/>
          </w:tcPr>
          <w:p w14:paraId="12C206B0" w14:textId="77777777" w:rsidR="00774B14" w:rsidRPr="00D71C6A" w:rsidRDefault="00774B14" w:rsidP="00D71C6A">
            <w:pPr>
              <w:autoSpaceDE w:val="0"/>
              <w:autoSpaceDN w:val="0"/>
              <w:adjustRightInd w:val="0"/>
              <w:contextualSpacing/>
              <w:rPr>
                <w:rFonts w:cs="Times New Roman"/>
                <w:color w:val="000000"/>
                <w:szCs w:val="20"/>
              </w:rPr>
            </w:pPr>
          </w:p>
        </w:tc>
        <w:tc>
          <w:tcPr>
            <w:tcW w:w="736" w:type="pct"/>
          </w:tcPr>
          <w:p w14:paraId="3887563E"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ROE</w:t>
            </w:r>
          </w:p>
        </w:tc>
        <w:tc>
          <w:tcPr>
            <w:tcW w:w="840" w:type="pct"/>
          </w:tcPr>
          <w:p w14:paraId="3B046D3A"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64.186</w:t>
            </w:r>
          </w:p>
        </w:tc>
        <w:tc>
          <w:tcPr>
            <w:tcW w:w="840" w:type="pct"/>
          </w:tcPr>
          <w:p w14:paraId="33DF28B5"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138.995</w:t>
            </w:r>
          </w:p>
        </w:tc>
        <w:tc>
          <w:tcPr>
            <w:tcW w:w="927" w:type="pct"/>
          </w:tcPr>
          <w:p w14:paraId="13296B0B"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.175</w:t>
            </w:r>
          </w:p>
        </w:tc>
        <w:tc>
          <w:tcPr>
            <w:tcW w:w="616" w:type="pct"/>
          </w:tcPr>
          <w:p w14:paraId="36FC3CD2"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.462</w:t>
            </w:r>
          </w:p>
        </w:tc>
        <w:tc>
          <w:tcPr>
            <w:tcW w:w="622" w:type="pct"/>
          </w:tcPr>
          <w:p w14:paraId="05B60422"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.001</w:t>
            </w:r>
          </w:p>
        </w:tc>
      </w:tr>
      <w:tr w:rsidR="00774B14" w:rsidRPr="00D71C6A" w14:paraId="23C8CB03" w14:textId="77777777" w:rsidTr="00286187">
        <w:trPr>
          <w:trHeight w:val="176"/>
        </w:trPr>
        <w:tc>
          <w:tcPr>
            <w:tcW w:w="419" w:type="pct"/>
            <w:vMerge/>
          </w:tcPr>
          <w:p w14:paraId="6C3E09B9" w14:textId="77777777" w:rsidR="00774B14" w:rsidRPr="00D71C6A" w:rsidRDefault="00774B14" w:rsidP="00D71C6A">
            <w:pPr>
              <w:autoSpaceDE w:val="0"/>
              <w:autoSpaceDN w:val="0"/>
              <w:adjustRightInd w:val="0"/>
              <w:contextualSpacing/>
              <w:rPr>
                <w:rFonts w:cs="Times New Roman"/>
                <w:color w:val="000000"/>
                <w:szCs w:val="20"/>
              </w:rPr>
            </w:pPr>
          </w:p>
        </w:tc>
        <w:tc>
          <w:tcPr>
            <w:tcW w:w="736" w:type="pct"/>
          </w:tcPr>
          <w:p w14:paraId="2307E3E3"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NPM</w:t>
            </w:r>
          </w:p>
        </w:tc>
        <w:tc>
          <w:tcPr>
            <w:tcW w:w="840" w:type="pct"/>
          </w:tcPr>
          <w:p w14:paraId="00BE41AD"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32.892</w:t>
            </w:r>
          </w:p>
        </w:tc>
        <w:tc>
          <w:tcPr>
            <w:tcW w:w="840" w:type="pct"/>
          </w:tcPr>
          <w:p w14:paraId="1DEA44E5"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58.942</w:t>
            </w:r>
          </w:p>
        </w:tc>
        <w:tc>
          <w:tcPr>
            <w:tcW w:w="927" w:type="pct"/>
          </w:tcPr>
          <w:p w14:paraId="3F61BDC4"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.113</w:t>
            </w:r>
          </w:p>
        </w:tc>
        <w:tc>
          <w:tcPr>
            <w:tcW w:w="616" w:type="pct"/>
          </w:tcPr>
          <w:p w14:paraId="23B9CC81"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.558</w:t>
            </w:r>
          </w:p>
        </w:tc>
        <w:tc>
          <w:tcPr>
            <w:tcW w:w="622" w:type="pct"/>
          </w:tcPr>
          <w:p w14:paraId="29E726D0"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.002</w:t>
            </w:r>
          </w:p>
        </w:tc>
      </w:tr>
      <w:tr w:rsidR="00774B14" w:rsidRPr="00D71C6A" w14:paraId="30E116D9" w14:textId="77777777" w:rsidTr="00286187">
        <w:trPr>
          <w:trHeight w:val="176"/>
        </w:trPr>
        <w:tc>
          <w:tcPr>
            <w:tcW w:w="419" w:type="pct"/>
            <w:vMerge/>
          </w:tcPr>
          <w:p w14:paraId="6920F692" w14:textId="77777777" w:rsidR="00774B14" w:rsidRPr="00D71C6A" w:rsidRDefault="00774B14" w:rsidP="00D71C6A">
            <w:pPr>
              <w:autoSpaceDE w:val="0"/>
              <w:autoSpaceDN w:val="0"/>
              <w:adjustRightInd w:val="0"/>
              <w:contextualSpacing/>
              <w:rPr>
                <w:rFonts w:cs="Times New Roman"/>
                <w:color w:val="000000"/>
                <w:szCs w:val="20"/>
              </w:rPr>
            </w:pPr>
          </w:p>
        </w:tc>
        <w:tc>
          <w:tcPr>
            <w:tcW w:w="736" w:type="pct"/>
          </w:tcPr>
          <w:p w14:paraId="30A03FFE"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EPS</w:t>
            </w:r>
          </w:p>
        </w:tc>
        <w:tc>
          <w:tcPr>
            <w:tcW w:w="840" w:type="pct"/>
          </w:tcPr>
          <w:p w14:paraId="0EC3BDE8"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7.963</w:t>
            </w:r>
          </w:p>
        </w:tc>
        <w:tc>
          <w:tcPr>
            <w:tcW w:w="840" w:type="pct"/>
          </w:tcPr>
          <w:p w14:paraId="06591D77"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1.017</w:t>
            </w:r>
          </w:p>
        </w:tc>
        <w:tc>
          <w:tcPr>
            <w:tcW w:w="927" w:type="pct"/>
          </w:tcPr>
          <w:p w14:paraId="23CC09D7"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.814</w:t>
            </w:r>
          </w:p>
        </w:tc>
        <w:tc>
          <w:tcPr>
            <w:tcW w:w="616" w:type="pct"/>
          </w:tcPr>
          <w:p w14:paraId="65A24C01"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7.831</w:t>
            </w:r>
          </w:p>
        </w:tc>
        <w:tc>
          <w:tcPr>
            <w:tcW w:w="622" w:type="pct"/>
          </w:tcPr>
          <w:p w14:paraId="1E4AA678"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r>
      <w:tr w:rsidR="00774B14" w:rsidRPr="00D71C6A" w14:paraId="6A743779" w14:textId="77777777" w:rsidTr="00286187">
        <w:trPr>
          <w:trHeight w:val="176"/>
        </w:trPr>
        <w:tc>
          <w:tcPr>
            <w:tcW w:w="419" w:type="pct"/>
            <w:vMerge/>
          </w:tcPr>
          <w:p w14:paraId="463640B9" w14:textId="77777777" w:rsidR="00774B14" w:rsidRPr="00D71C6A" w:rsidRDefault="00774B14" w:rsidP="00D71C6A">
            <w:pPr>
              <w:autoSpaceDE w:val="0"/>
              <w:autoSpaceDN w:val="0"/>
              <w:adjustRightInd w:val="0"/>
              <w:contextualSpacing/>
              <w:rPr>
                <w:rFonts w:cs="Times New Roman"/>
                <w:color w:val="000000"/>
                <w:szCs w:val="20"/>
              </w:rPr>
            </w:pPr>
          </w:p>
        </w:tc>
        <w:tc>
          <w:tcPr>
            <w:tcW w:w="736" w:type="pct"/>
          </w:tcPr>
          <w:p w14:paraId="2A5DD465"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DER</w:t>
            </w:r>
          </w:p>
        </w:tc>
        <w:tc>
          <w:tcPr>
            <w:tcW w:w="840" w:type="pct"/>
          </w:tcPr>
          <w:p w14:paraId="6CAA02B3"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105.402</w:t>
            </w:r>
          </w:p>
        </w:tc>
        <w:tc>
          <w:tcPr>
            <w:tcW w:w="840" w:type="pct"/>
          </w:tcPr>
          <w:p w14:paraId="51368F54"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165.376</w:t>
            </w:r>
          </w:p>
        </w:tc>
        <w:tc>
          <w:tcPr>
            <w:tcW w:w="927" w:type="pct"/>
          </w:tcPr>
          <w:p w14:paraId="35255E8F"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.064</w:t>
            </w:r>
          </w:p>
        </w:tc>
        <w:tc>
          <w:tcPr>
            <w:tcW w:w="616" w:type="pct"/>
          </w:tcPr>
          <w:p w14:paraId="75A97401"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.637</w:t>
            </w:r>
          </w:p>
        </w:tc>
        <w:tc>
          <w:tcPr>
            <w:tcW w:w="622" w:type="pct"/>
          </w:tcPr>
          <w:p w14:paraId="00D44553" w14:textId="77777777" w:rsidR="00774B14" w:rsidRPr="00D71C6A" w:rsidRDefault="00774B14"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r>
      <w:tr w:rsidR="00774B14" w:rsidRPr="00D71C6A" w14:paraId="7D7F7F97" w14:textId="77777777" w:rsidTr="00286187">
        <w:trPr>
          <w:trHeight w:val="230"/>
        </w:trPr>
        <w:tc>
          <w:tcPr>
            <w:tcW w:w="5000" w:type="pct"/>
            <w:gridSpan w:val="7"/>
          </w:tcPr>
          <w:p w14:paraId="07811140" w14:textId="77777777" w:rsidR="00774B14" w:rsidRPr="00D71C6A" w:rsidRDefault="00774B14"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za. Dependent Variable: Harga_Saham</w:t>
            </w:r>
          </w:p>
        </w:tc>
      </w:tr>
    </w:tbl>
    <w:p w14:paraId="2A7F8C98" w14:textId="77777777" w:rsidR="00177517" w:rsidRPr="00D71C6A" w:rsidRDefault="00177517" w:rsidP="00D71C6A">
      <w:pPr>
        <w:ind w:firstLine="426"/>
        <w:rPr>
          <w:rFonts w:cs="Times New Roman"/>
          <w:szCs w:val="20"/>
        </w:rPr>
      </w:pPr>
      <w:r w:rsidRPr="00D71C6A">
        <w:rPr>
          <w:rFonts w:cs="Times New Roman"/>
          <w:szCs w:val="20"/>
        </w:rPr>
        <w:t>Source: SPSS data processing results, 2025</w:t>
      </w:r>
    </w:p>
    <w:p w14:paraId="29AAAE77" w14:textId="77777777" w:rsidR="00286187" w:rsidRDefault="00286187" w:rsidP="00286187"/>
    <w:p w14:paraId="598D470D" w14:textId="77777777" w:rsidR="00286187" w:rsidRDefault="00177517" w:rsidP="00286187">
      <w:r w:rsidRPr="00D71C6A">
        <w:t>All independent variables are proven to be statistically significant (Sig. &lt; 0.05). EPS is the most dominant variable with a positive coefficient and the highest t-value, while ROA has a negative influence on the Stock Price</w:t>
      </w:r>
      <w:r w:rsidR="003A4F73" w:rsidRPr="00D71C6A">
        <w:t>.</w:t>
      </w:r>
    </w:p>
    <w:p w14:paraId="3C01F45E" w14:textId="77777777" w:rsidR="00286187" w:rsidRDefault="00286187" w:rsidP="00286187"/>
    <w:p w14:paraId="189F61F6" w14:textId="1BEBB16A" w:rsidR="00177517" w:rsidRPr="00286187" w:rsidRDefault="00F70988" w:rsidP="00286187">
      <w:pPr>
        <w:rPr>
          <w:b/>
          <w:bCs/>
        </w:rPr>
      </w:pPr>
      <w:r w:rsidRPr="00286187">
        <w:rPr>
          <w:b/>
          <w:bCs/>
        </w:rPr>
        <w:t>Classical Assumption Tests</w:t>
      </w:r>
    </w:p>
    <w:p w14:paraId="70CA2C41" w14:textId="31982018" w:rsidR="007D358F" w:rsidRPr="00286187" w:rsidRDefault="00F70988" w:rsidP="00286187">
      <w:pPr>
        <w:rPr>
          <w:rStyle w:val="Strong"/>
          <w:rFonts w:cs="Times New Roman"/>
          <w:szCs w:val="20"/>
        </w:rPr>
      </w:pPr>
      <w:r w:rsidRPr="00286187">
        <w:rPr>
          <w:rFonts w:cs="Times New Roman"/>
          <w:b/>
          <w:bCs/>
          <w:szCs w:val="20"/>
        </w:rPr>
        <w:t>Normality Test</w:t>
      </w:r>
    </w:p>
    <w:p w14:paraId="6D57D2BB" w14:textId="4D12ADE3" w:rsidR="00A666D1" w:rsidRPr="00D71C6A" w:rsidRDefault="00286187" w:rsidP="00286187">
      <w:r>
        <w:tab/>
      </w:r>
      <w:r w:rsidR="00F70988" w:rsidRPr="00D71C6A">
        <w:t>The normality test is performed to determine whether the residual data in the regression model are normally distributed. The data are considered to be normally distributed if the Kolmogorov-Smirnov significance value (Asymp. Sig.) is greater than 0.05.</w:t>
      </w:r>
      <w:r w:rsidR="007D358F" w:rsidRPr="00D71C6A">
        <w:t xml:space="preserve"> </w:t>
      </w:r>
      <w:r w:rsidR="00B765F0" w:rsidRPr="00D71C6A">
        <w:fldChar w:fldCharType="begin" w:fldLock="1"/>
      </w:r>
      <w:r w:rsidR="00884186" w:rsidRPr="00D71C6A">
        <w:instrText>ADDIN CSL_CITATION {"citationItems":[{"id":"ITEM-1","itemData":{"author":[{"dropping-particle":"","family":"Ghozali","given":"","non-dropping-particle":"","parse-names":false,"suffix":""}],"id":"ITEM-1","issued":{"date-parts":[["2021"]]},"title":"Aplikasi Analisis Multivariate Dengan Program IBM SPSS 26.","type":"book"},"uris":["http://www.mendeley.com/documents/?uuid=e2a5622e-1ef0-4619-9f45-4e65f7cb1ed5"]}],"mendeley":{"formattedCitation":"(Ghozali, 2021)","plainTextFormattedCitation":"(Ghozali, 2021)","previouslyFormattedCitation":"(Ghozali, 2021)"},"properties":{"noteIndex":0},"schema":"https://github.com/citation-style-language/schema/raw/master/csl-citation.json"}</w:instrText>
      </w:r>
      <w:r w:rsidR="00B765F0" w:rsidRPr="00D71C6A">
        <w:fldChar w:fldCharType="separate"/>
      </w:r>
      <w:r w:rsidR="00B765F0" w:rsidRPr="00D71C6A">
        <w:t>(Ghozali, 2021)</w:t>
      </w:r>
      <w:r w:rsidR="00B765F0" w:rsidRPr="00D71C6A">
        <w:fldChar w:fldCharType="end"/>
      </w:r>
    </w:p>
    <w:p w14:paraId="53E5956F" w14:textId="77777777" w:rsidR="00286187" w:rsidRDefault="00286187" w:rsidP="00286187">
      <w:pPr>
        <w:jc w:val="center"/>
      </w:pPr>
    </w:p>
    <w:p w14:paraId="4A65AA6C" w14:textId="60A5CE3B" w:rsidR="00F70988" w:rsidRPr="00D71C6A" w:rsidRDefault="00F70988" w:rsidP="00286187">
      <w:pPr>
        <w:jc w:val="center"/>
      </w:pPr>
      <w:r w:rsidRPr="00D71C6A">
        <w:t>Table 3. Normality Test</w:t>
      </w:r>
    </w:p>
    <w:tbl>
      <w:tblPr>
        <w:tblStyle w:val="Style1"/>
        <w:tblW w:w="5000" w:type="pct"/>
        <w:tblLook w:val="0000" w:firstRow="0" w:lastRow="0" w:firstColumn="0" w:lastColumn="0" w:noHBand="0" w:noVBand="0"/>
      </w:tblPr>
      <w:tblGrid>
        <w:gridCol w:w="2825"/>
        <w:gridCol w:w="2513"/>
        <w:gridCol w:w="2599"/>
      </w:tblGrid>
      <w:tr w:rsidR="007D358F" w:rsidRPr="00D71C6A" w14:paraId="76DF76A0" w14:textId="77777777" w:rsidTr="00286187">
        <w:trPr>
          <w:trHeight w:val="66"/>
        </w:trPr>
        <w:tc>
          <w:tcPr>
            <w:tcW w:w="5000" w:type="pct"/>
            <w:gridSpan w:val="3"/>
          </w:tcPr>
          <w:p w14:paraId="5D5DE9CE"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b/>
                <w:bCs/>
                <w:color w:val="000000"/>
                <w:szCs w:val="20"/>
              </w:rPr>
              <w:t>One-Sample Kolmogorov-Smirnov Test</w:t>
            </w:r>
          </w:p>
        </w:tc>
      </w:tr>
      <w:tr w:rsidR="007D358F" w:rsidRPr="00D71C6A" w14:paraId="45976B72" w14:textId="77777777" w:rsidTr="00286187">
        <w:trPr>
          <w:trHeight w:val="66"/>
        </w:trPr>
        <w:tc>
          <w:tcPr>
            <w:tcW w:w="3363" w:type="pct"/>
            <w:gridSpan w:val="2"/>
          </w:tcPr>
          <w:p w14:paraId="75D6BC73" w14:textId="77777777" w:rsidR="007D358F" w:rsidRPr="00D71C6A" w:rsidRDefault="007D358F" w:rsidP="00D71C6A">
            <w:pPr>
              <w:autoSpaceDE w:val="0"/>
              <w:autoSpaceDN w:val="0"/>
              <w:adjustRightInd w:val="0"/>
              <w:contextualSpacing/>
              <w:rPr>
                <w:rFonts w:cs="Times New Roman"/>
                <w:szCs w:val="20"/>
              </w:rPr>
            </w:pPr>
          </w:p>
        </w:tc>
        <w:tc>
          <w:tcPr>
            <w:tcW w:w="1637" w:type="pct"/>
          </w:tcPr>
          <w:p w14:paraId="4A08905F"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Unstandardized Residual</w:t>
            </w:r>
          </w:p>
        </w:tc>
      </w:tr>
      <w:tr w:rsidR="007D358F" w:rsidRPr="00D71C6A" w14:paraId="6E8BD925" w14:textId="77777777" w:rsidTr="00286187">
        <w:trPr>
          <w:trHeight w:val="66"/>
        </w:trPr>
        <w:tc>
          <w:tcPr>
            <w:tcW w:w="3363" w:type="pct"/>
            <w:gridSpan w:val="2"/>
          </w:tcPr>
          <w:p w14:paraId="5D01D392"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N</w:t>
            </w:r>
          </w:p>
        </w:tc>
        <w:tc>
          <w:tcPr>
            <w:tcW w:w="1637" w:type="pct"/>
          </w:tcPr>
          <w:p w14:paraId="2A1E7C1B"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48</w:t>
            </w:r>
          </w:p>
        </w:tc>
      </w:tr>
      <w:tr w:rsidR="007D358F" w:rsidRPr="00D71C6A" w14:paraId="3D61B173" w14:textId="77777777" w:rsidTr="00286187">
        <w:trPr>
          <w:trHeight w:val="66"/>
        </w:trPr>
        <w:tc>
          <w:tcPr>
            <w:tcW w:w="1780" w:type="pct"/>
            <w:vMerge w:val="restart"/>
          </w:tcPr>
          <w:p w14:paraId="06164945"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Normal Parameters</w:t>
            </w:r>
            <w:r w:rsidRPr="00D71C6A">
              <w:rPr>
                <w:rFonts w:cs="Times New Roman"/>
                <w:color w:val="000000"/>
                <w:szCs w:val="20"/>
                <w:vertAlign w:val="superscript"/>
              </w:rPr>
              <w:t>a,b</w:t>
            </w:r>
          </w:p>
        </w:tc>
        <w:tc>
          <w:tcPr>
            <w:tcW w:w="1583" w:type="pct"/>
          </w:tcPr>
          <w:p w14:paraId="2005940A"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Mean</w:t>
            </w:r>
          </w:p>
        </w:tc>
        <w:tc>
          <w:tcPr>
            <w:tcW w:w="1637" w:type="pct"/>
          </w:tcPr>
          <w:p w14:paraId="110D1169"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.0000000</w:t>
            </w:r>
          </w:p>
        </w:tc>
      </w:tr>
      <w:tr w:rsidR="007D358F" w:rsidRPr="00D71C6A" w14:paraId="01130617" w14:textId="77777777" w:rsidTr="00286187">
        <w:trPr>
          <w:trHeight w:val="66"/>
        </w:trPr>
        <w:tc>
          <w:tcPr>
            <w:tcW w:w="1780" w:type="pct"/>
            <w:vMerge/>
          </w:tcPr>
          <w:p w14:paraId="67E16D7B" w14:textId="77777777" w:rsidR="007D358F" w:rsidRPr="00D71C6A" w:rsidRDefault="007D358F" w:rsidP="00D71C6A">
            <w:pPr>
              <w:autoSpaceDE w:val="0"/>
              <w:autoSpaceDN w:val="0"/>
              <w:adjustRightInd w:val="0"/>
              <w:contextualSpacing/>
              <w:rPr>
                <w:rFonts w:cs="Times New Roman"/>
                <w:color w:val="000000"/>
                <w:szCs w:val="20"/>
              </w:rPr>
            </w:pPr>
          </w:p>
        </w:tc>
        <w:tc>
          <w:tcPr>
            <w:tcW w:w="1583" w:type="pct"/>
          </w:tcPr>
          <w:p w14:paraId="4E31E651"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Std. Deviation</w:t>
            </w:r>
          </w:p>
        </w:tc>
        <w:tc>
          <w:tcPr>
            <w:tcW w:w="1637" w:type="pct"/>
          </w:tcPr>
          <w:p w14:paraId="6B5D9B13"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1396.69793697</w:t>
            </w:r>
          </w:p>
        </w:tc>
      </w:tr>
      <w:tr w:rsidR="007D358F" w:rsidRPr="00D71C6A" w14:paraId="12C114A3" w14:textId="77777777" w:rsidTr="00286187">
        <w:trPr>
          <w:trHeight w:val="66"/>
        </w:trPr>
        <w:tc>
          <w:tcPr>
            <w:tcW w:w="1780" w:type="pct"/>
            <w:vMerge w:val="restart"/>
          </w:tcPr>
          <w:p w14:paraId="51DD6045"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Most Extreme Differences</w:t>
            </w:r>
          </w:p>
        </w:tc>
        <w:tc>
          <w:tcPr>
            <w:tcW w:w="1583" w:type="pct"/>
          </w:tcPr>
          <w:p w14:paraId="34C30E96"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Absolute</w:t>
            </w:r>
          </w:p>
        </w:tc>
        <w:tc>
          <w:tcPr>
            <w:tcW w:w="1637" w:type="pct"/>
          </w:tcPr>
          <w:p w14:paraId="3A13556D"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.249</w:t>
            </w:r>
          </w:p>
        </w:tc>
      </w:tr>
      <w:tr w:rsidR="007D358F" w:rsidRPr="00D71C6A" w14:paraId="56BEE6CC" w14:textId="77777777" w:rsidTr="00286187">
        <w:trPr>
          <w:trHeight w:val="66"/>
        </w:trPr>
        <w:tc>
          <w:tcPr>
            <w:tcW w:w="1780" w:type="pct"/>
            <w:vMerge/>
          </w:tcPr>
          <w:p w14:paraId="1441631F" w14:textId="77777777" w:rsidR="007D358F" w:rsidRPr="00D71C6A" w:rsidRDefault="007D358F" w:rsidP="00D71C6A">
            <w:pPr>
              <w:autoSpaceDE w:val="0"/>
              <w:autoSpaceDN w:val="0"/>
              <w:adjustRightInd w:val="0"/>
              <w:contextualSpacing/>
              <w:rPr>
                <w:rFonts w:cs="Times New Roman"/>
                <w:color w:val="000000"/>
                <w:szCs w:val="20"/>
              </w:rPr>
            </w:pPr>
          </w:p>
        </w:tc>
        <w:tc>
          <w:tcPr>
            <w:tcW w:w="1583" w:type="pct"/>
          </w:tcPr>
          <w:p w14:paraId="2B844EB1"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Positive</w:t>
            </w:r>
          </w:p>
        </w:tc>
        <w:tc>
          <w:tcPr>
            <w:tcW w:w="1637" w:type="pct"/>
          </w:tcPr>
          <w:p w14:paraId="0DCB9925"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.249</w:t>
            </w:r>
          </w:p>
        </w:tc>
      </w:tr>
      <w:tr w:rsidR="007D358F" w:rsidRPr="00D71C6A" w14:paraId="3A99BF69" w14:textId="77777777" w:rsidTr="00286187">
        <w:trPr>
          <w:trHeight w:val="66"/>
        </w:trPr>
        <w:tc>
          <w:tcPr>
            <w:tcW w:w="1780" w:type="pct"/>
            <w:vMerge/>
          </w:tcPr>
          <w:p w14:paraId="74A90F73" w14:textId="77777777" w:rsidR="007D358F" w:rsidRPr="00D71C6A" w:rsidRDefault="007D358F" w:rsidP="00D71C6A">
            <w:pPr>
              <w:autoSpaceDE w:val="0"/>
              <w:autoSpaceDN w:val="0"/>
              <w:adjustRightInd w:val="0"/>
              <w:contextualSpacing/>
              <w:rPr>
                <w:rFonts w:cs="Times New Roman"/>
                <w:color w:val="000000"/>
                <w:szCs w:val="20"/>
              </w:rPr>
            </w:pPr>
          </w:p>
        </w:tc>
        <w:tc>
          <w:tcPr>
            <w:tcW w:w="1583" w:type="pct"/>
          </w:tcPr>
          <w:p w14:paraId="14C2ABD6"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Negative</w:t>
            </w:r>
          </w:p>
        </w:tc>
        <w:tc>
          <w:tcPr>
            <w:tcW w:w="1637" w:type="pct"/>
          </w:tcPr>
          <w:p w14:paraId="0B46EA5E"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-.157</w:t>
            </w:r>
          </w:p>
        </w:tc>
      </w:tr>
      <w:tr w:rsidR="007D358F" w:rsidRPr="00D71C6A" w14:paraId="5D8C24AC" w14:textId="77777777" w:rsidTr="00286187">
        <w:trPr>
          <w:trHeight w:val="66"/>
        </w:trPr>
        <w:tc>
          <w:tcPr>
            <w:tcW w:w="3363" w:type="pct"/>
            <w:gridSpan w:val="2"/>
          </w:tcPr>
          <w:p w14:paraId="3750FFE1"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Kolmogorov-Smirnov Z</w:t>
            </w:r>
          </w:p>
        </w:tc>
        <w:tc>
          <w:tcPr>
            <w:tcW w:w="1637" w:type="pct"/>
          </w:tcPr>
          <w:p w14:paraId="39752152"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1.726</w:t>
            </w:r>
          </w:p>
        </w:tc>
      </w:tr>
      <w:tr w:rsidR="007D358F" w:rsidRPr="00D71C6A" w14:paraId="463391B2" w14:textId="77777777" w:rsidTr="00286187">
        <w:trPr>
          <w:trHeight w:val="66"/>
        </w:trPr>
        <w:tc>
          <w:tcPr>
            <w:tcW w:w="3363" w:type="pct"/>
            <w:gridSpan w:val="2"/>
          </w:tcPr>
          <w:p w14:paraId="6467CB2D"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Asymp. Sig. (2-tailed)</w:t>
            </w:r>
          </w:p>
        </w:tc>
        <w:tc>
          <w:tcPr>
            <w:tcW w:w="1637" w:type="pct"/>
          </w:tcPr>
          <w:p w14:paraId="7CEA5E60"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.517</w:t>
            </w:r>
          </w:p>
        </w:tc>
      </w:tr>
      <w:tr w:rsidR="007D358F" w:rsidRPr="00D71C6A" w14:paraId="341242BF" w14:textId="77777777" w:rsidTr="00286187">
        <w:trPr>
          <w:trHeight w:val="66"/>
        </w:trPr>
        <w:tc>
          <w:tcPr>
            <w:tcW w:w="5000" w:type="pct"/>
            <w:gridSpan w:val="3"/>
          </w:tcPr>
          <w:p w14:paraId="43692737"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a. Test distribution is Normal.</w:t>
            </w:r>
          </w:p>
        </w:tc>
      </w:tr>
      <w:tr w:rsidR="007D358F" w:rsidRPr="00D71C6A" w14:paraId="39E7A3DE" w14:textId="77777777" w:rsidTr="00286187">
        <w:trPr>
          <w:trHeight w:val="66"/>
        </w:trPr>
        <w:tc>
          <w:tcPr>
            <w:tcW w:w="5000" w:type="pct"/>
            <w:gridSpan w:val="3"/>
          </w:tcPr>
          <w:p w14:paraId="3B976417"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b. Calculated from data.</w:t>
            </w:r>
          </w:p>
        </w:tc>
      </w:tr>
      <w:tr w:rsidR="00043D6B" w:rsidRPr="00D71C6A" w14:paraId="3DC0AE4E" w14:textId="77777777" w:rsidTr="00286187">
        <w:trPr>
          <w:trHeight w:val="66"/>
        </w:trPr>
        <w:tc>
          <w:tcPr>
            <w:tcW w:w="5000" w:type="pct"/>
            <w:gridSpan w:val="3"/>
          </w:tcPr>
          <w:p w14:paraId="5FD1E352" w14:textId="668F49F4" w:rsidR="00043D6B" w:rsidRPr="00D71C6A" w:rsidRDefault="00F70988" w:rsidP="00D71C6A">
            <w:pPr>
              <w:rPr>
                <w:rFonts w:cs="Times New Roman"/>
                <w:szCs w:val="20"/>
              </w:rPr>
            </w:pPr>
            <w:r w:rsidRPr="00D71C6A">
              <w:rPr>
                <w:rFonts w:cs="Times New Roman"/>
                <w:szCs w:val="20"/>
              </w:rPr>
              <w:t>Source: SPSS data processing results, 2025</w:t>
            </w:r>
          </w:p>
          <w:p w14:paraId="120AA74B" w14:textId="77777777" w:rsidR="00043D6B" w:rsidRPr="00D71C6A" w:rsidRDefault="00043D6B" w:rsidP="00D71C6A">
            <w:pPr>
              <w:autoSpaceDE w:val="0"/>
              <w:autoSpaceDN w:val="0"/>
              <w:adjustRightInd w:val="0"/>
              <w:ind w:left="60" w:right="60"/>
              <w:contextualSpacing/>
              <w:rPr>
                <w:rFonts w:cs="Times New Roman"/>
                <w:color w:val="000000"/>
                <w:szCs w:val="20"/>
              </w:rPr>
            </w:pPr>
          </w:p>
        </w:tc>
      </w:tr>
    </w:tbl>
    <w:p w14:paraId="5F209E2B" w14:textId="77777777" w:rsidR="00286187" w:rsidRDefault="00286187" w:rsidP="00286187"/>
    <w:p w14:paraId="2DFD58F5" w14:textId="0160C64B" w:rsidR="00F70988" w:rsidRPr="00D71C6A" w:rsidRDefault="00286187" w:rsidP="00286187">
      <w:r>
        <w:tab/>
      </w:r>
      <w:r w:rsidR="00F70988" w:rsidRPr="00D71C6A">
        <w:t>The Kolmogorov-Smirnov test results show an Asymp. Sig. = 0.517 &gt; 0.05, which indicates that the residuals are normally distributed.</w:t>
      </w:r>
    </w:p>
    <w:p w14:paraId="385888BD" w14:textId="77777777" w:rsidR="00286187" w:rsidRDefault="00286187" w:rsidP="00286187">
      <w:pPr>
        <w:pStyle w:val="NormalWeb"/>
        <w:spacing w:before="0" w:beforeAutospacing="0" w:after="0" w:afterAutospacing="0"/>
        <w:rPr>
          <w:rStyle w:val="Strong"/>
          <w:rFonts w:eastAsiaTheme="majorEastAsia"/>
          <w:noProof/>
          <w:sz w:val="20"/>
          <w:szCs w:val="20"/>
        </w:rPr>
      </w:pPr>
    </w:p>
    <w:p w14:paraId="33B6825E" w14:textId="5381DF18" w:rsidR="007D358F" w:rsidRPr="00D71C6A" w:rsidRDefault="00774B14" w:rsidP="00286187">
      <w:pPr>
        <w:pStyle w:val="NormalWeb"/>
        <w:spacing w:before="0" w:beforeAutospacing="0" w:after="0" w:afterAutospacing="0"/>
        <w:rPr>
          <w:rStyle w:val="Strong"/>
          <w:b w:val="0"/>
          <w:bCs w:val="0"/>
          <w:noProof/>
          <w:sz w:val="20"/>
          <w:szCs w:val="20"/>
        </w:rPr>
      </w:pPr>
      <w:r w:rsidRPr="00D71C6A">
        <w:rPr>
          <w:rStyle w:val="Strong"/>
          <w:rFonts w:eastAsiaTheme="majorEastAsia"/>
          <w:noProof/>
          <w:sz w:val="20"/>
          <w:szCs w:val="20"/>
        </w:rPr>
        <w:t>Multi</w:t>
      </w:r>
      <w:r w:rsidR="006C6D2E" w:rsidRPr="00D71C6A">
        <w:rPr>
          <w:rStyle w:val="Strong"/>
          <w:rFonts w:eastAsiaTheme="majorEastAsia"/>
          <w:noProof/>
          <w:sz w:val="20"/>
          <w:szCs w:val="20"/>
        </w:rPr>
        <w:t>c</w:t>
      </w:r>
      <w:r w:rsidRPr="00D71C6A">
        <w:rPr>
          <w:rStyle w:val="Strong"/>
          <w:rFonts w:eastAsiaTheme="majorEastAsia"/>
          <w:noProof/>
          <w:sz w:val="20"/>
          <w:szCs w:val="20"/>
        </w:rPr>
        <w:t>ol</w:t>
      </w:r>
      <w:r w:rsidR="006C6D2E" w:rsidRPr="00D71C6A">
        <w:rPr>
          <w:rStyle w:val="Strong"/>
          <w:rFonts w:eastAsiaTheme="majorEastAsia"/>
          <w:noProof/>
          <w:sz w:val="20"/>
          <w:szCs w:val="20"/>
        </w:rPr>
        <w:t>l</w:t>
      </w:r>
      <w:r w:rsidRPr="00D71C6A">
        <w:rPr>
          <w:rStyle w:val="Strong"/>
          <w:rFonts w:eastAsiaTheme="majorEastAsia"/>
          <w:noProof/>
          <w:sz w:val="20"/>
          <w:szCs w:val="20"/>
        </w:rPr>
        <w:t>inearit</w:t>
      </w:r>
      <w:r w:rsidR="006C6D2E" w:rsidRPr="00D71C6A">
        <w:rPr>
          <w:rStyle w:val="Strong"/>
          <w:rFonts w:eastAsiaTheme="majorEastAsia"/>
          <w:noProof/>
          <w:sz w:val="20"/>
          <w:szCs w:val="20"/>
        </w:rPr>
        <w:t>y</w:t>
      </w:r>
    </w:p>
    <w:p w14:paraId="215D4F23" w14:textId="37829F84" w:rsidR="003D3377" w:rsidRPr="00D71C6A" w:rsidRDefault="00286187" w:rsidP="00286187">
      <w:r>
        <w:tab/>
      </w:r>
      <w:r w:rsidR="00F70988" w:rsidRPr="00D71C6A">
        <w:t xml:space="preserve">Multicollinearity is considered absent if the Tolerance value is greater than 0.100 and the VIF (Variance Inflation Factor) value is less than 10.00 </w:t>
      </w:r>
      <w:r w:rsidR="007D358F" w:rsidRPr="00D71C6A">
        <w:t>(Ima</w:t>
      </w:r>
      <w:r w:rsidR="003A4F73" w:rsidRPr="00D71C6A">
        <w:t xml:space="preserve">m </w:t>
      </w:r>
      <w:r w:rsidR="003A4F73" w:rsidRPr="00D71C6A">
        <w:fldChar w:fldCharType="begin" w:fldLock="1"/>
      </w:r>
      <w:r w:rsidR="002A19BE" w:rsidRPr="00D71C6A">
        <w:instrText>ADDIN CSL_CITATION {"citationItems":[{"id":"ITEM-1","itemData":{"author":[{"dropping-particle":"","family":"Ghozali","given":"","non-dropping-particle":"","parse-names":false,"suffix":""}],"id":"ITEM-1","issued":{"date-parts":[["2021"]]},"title":"Aplikasi Analisis Multivariate Dengan Program IBM SPSS 26.","type":"book"},"uris":["http://www.mendeley.com/documents/?uuid=e2a5622e-1ef0-4619-9f45-4e65f7cb1ed5"]}],"mendeley":{"formattedCitation":"(Ghozali, 2021)","manualFormatting":"Ghozali, 2012","plainTextFormattedCitation":"(Ghozali, 2021)","previouslyFormattedCitation":"(Ghozali, 2021)"},"properties":{"noteIndex":0},"schema":"https://github.com/citation-style-language/schema/raw/master/csl-citation.json"}</w:instrText>
      </w:r>
      <w:r w:rsidR="003A4F73" w:rsidRPr="00D71C6A">
        <w:fldChar w:fldCharType="separate"/>
      </w:r>
      <w:r w:rsidR="003A4F73" w:rsidRPr="00D71C6A">
        <w:t>Ghozali, 2012</w:t>
      </w:r>
      <w:r w:rsidR="003A4F73" w:rsidRPr="00D71C6A">
        <w:fldChar w:fldCharType="end"/>
      </w:r>
      <w:r w:rsidR="007D358F" w:rsidRPr="00D71C6A">
        <w:t xml:space="preserve"> </w:t>
      </w:r>
      <w:r w:rsidR="00F70988" w:rsidRPr="00D71C6A">
        <w:t>in</w:t>
      </w:r>
      <w:r w:rsidR="007D358F" w:rsidRPr="00D71C6A">
        <w:t xml:space="preserve"> Kurnia &amp; Fitriani 2018). </w:t>
      </w:r>
      <w:r w:rsidR="00F70988" w:rsidRPr="00D71C6A">
        <w:t>The results of the data analysis are as follows:</w:t>
      </w:r>
    </w:p>
    <w:p w14:paraId="70EC734C" w14:textId="3A102FE8" w:rsidR="00286187" w:rsidRDefault="00286187" w:rsidP="00286187">
      <w:pPr>
        <w:pStyle w:val="NormalWeb"/>
        <w:spacing w:before="0" w:beforeAutospacing="0" w:after="0" w:afterAutospacing="0"/>
        <w:ind w:left="2226" w:firstLine="654"/>
        <w:jc w:val="center"/>
        <w:rPr>
          <w:noProof/>
          <w:sz w:val="20"/>
          <w:szCs w:val="20"/>
        </w:rPr>
      </w:pPr>
    </w:p>
    <w:p w14:paraId="1A0AB685" w14:textId="2808BAA0" w:rsidR="00286187" w:rsidRDefault="00286187" w:rsidP="00286187">
      <w:pPr>
        <w:pStyle w:val="NormalWeb"/>
        <w:spacing w:before="0" w:beforeAutospacing="0" w:after="0" w:afterAutospacing="0"/>
        <w:ind w:left="2226" w:firstLine="654"/>
        <w:jc w:val="center"/>
        <w:rPr>
          <w:noProof/>
          <w:sz w:val="20"/>
          <w:szCs w:val="20"/>
        </w:rPr>
      </w:pPr>
    </w:p>
    <w:p w14:paraId="71EC4957" w14:textId="10C677CF" w:rsidR="00286187" w:rsidRDefault="00286187" w:rsidP="00286187">
      <w:pPr>
        <w:pStyle w:val="NormalWeb"/>
        <w:spacing w:before="0" w:beforeAutospacing="0" w:after="0" w:afterAutospacing="0"/>
        <w:ind w:left="2226" w:firstLine="654"/>
        <w:jc w:val="center"/>
        <w:rPr>
          <w:noProof/>
          <w:sz w:val="20"/>
          <w:szCs w:val="20"/>
        </w:rPr>
      </w:pPr>
    </w:p>
    <w:p w14:paraId="28EEF493" w14:textId="722983F7" w:rsidR="00286187" w:rsidRDefault="00286187" w:rsidP="00286187">
      <w:pPr>
        <w:pStyle w:val="NormalWeb"/>
        <w:spacing w:before="0" w:beforeAutospacing="0" w:after="0" w:afterAutospacing="0"/>
        <w:ind w:left="2226" w:firstLine="654"/>
        <w:jc w:val="center"/>
        <w:rPr>
          <w:noProof/>
          <w:sz w:val="20"/>
          <w:szCs w:val="20"/>
        </w:rPr>
      </w:pPr>
    </w:p>
    <w:p w14:paraId="3DB88F65" w14:textId="6C61E87C" w:rsidR="00286187" w:rsidRDefault="00286187" w:rsidP="00286187">
      <w:pPr>
        <w:pStyle w:val="NormalWeb"/>
        <w:spacing w:before="0" w:beforeAutospacing="0" w:after="0" w:afterAutospacing="0"/>
        <w:ind w:left="2226" w:firstLine="654"/>
        <w:jc w:val="center"/>
        <w:rPr>
          <w:noProof/>
          <w:sz w:val="20"/>
          <w:szCs w:val="20"/>
        </w:rPr>
      </w:pPr>
    </w:p>
    <w:p w14:paraId="0320D23D" w14:textId="77777777" w:rsidR="00286187" w:rsidRDefault="00286187" w:rsidP="00286187">
      <w:pPr>
        <w:pStyle w:val="NormalWeb"/>
        <w:spacing w:before="0" w:beforeAutospacing="0" w:after="0" w:afterAutospacing="0"/>
        <w:ind w:left="2226" w:firstLine="654"/>
        <w:jc w:val="center"/>
        <w:rPr>
          <w:noProof/>
          <w:sz w:val="20"/>
          <w:szCs w:val="20"/>
        </w:rPr>
      </w:pPr>
    </w:p>
    <w:p w14:paraId="4AF7670E" w14:textId="292E512A" w:rsidR="00F70988" w:rsidRPr="00D71C6A" w:rsidRDefault="00F70988" w:rsidP="00286187">
      <w:pPr>
        <w:jc w:val="center"/>
      </w:pPr>
      <w:r w:rsidRPr="00D71C6A">
        <w:t xml:space="preserve">Table 4. </w:t>
      </w:r>
      <w:r w:rsidRPr="00D71C6A">
        <w:rPr>
          <w:rStyle w:val="Strong"/>
          <w:rFonts w:eastAsiaTheme="majorEastAsia" w:cs="Times New Roman"/>
          <w:b w:val="0"/>
          <w:bCs w:val="0"/>
          <w:szCs w:val="20"/>
        </w:rPr>
        <w:t>Multi</w:t>
      </w:r>
      <w:r w:rsidR="006C6D2E" w:rsidRPr="00D71C6A">
        <w:rPr>
          <w:rStyle w:val="Strong"/>
          <w:rFonts w:eastAsiaTheme="majorEastAsia" w:cs="Times New Roman"/>
          <w:b w:val="0"/>
          <w:bCs w:val="0"/>
          <w:szCs w:val="20"/>
        </w:rPr>
        <w:t>c</w:t>
      </w:r>
      <w:r w:rsidRPr="00D71C6A">
        <w:rPr>
          <w:rStyle w:val="Strong"/>
          <w:rFonts w:eastAsiaTheme="majorEastAsia" w:cs="Times New Roman"/>
          <w:b w:val="0"/>
          <w:bCs w:val="0"/>
          <w:szCs w:val="20"/>
        </w:rPr>
        <w:t>ol</w:t>
      </w:r>
      <w:r w:rsidR="006C6D2E" w:rsidRPr="00D71C6A">
        <w:rPr>
          <w:rStyle w:val="Strong"/>
          <w:rFonts w:eastAsiaTheme="majorEastAsia" w:cs="Times New Roman"/>
          <w:b w:val="0"/>
          <w:bCs w:val="0"/>
          <w:szCs w:val="20"/>
        </w:rPr>
        <w:t>l</w:t>
      </w:r>
      <w:r w:rsidRPr="00D71C6A">
        <w:rPr>
          <w:rStyle w:val="Strong"/>
          <w:rFonts w:eastAsiaTheme="majorEastAsia" w:cs="Times New Roman"/>
          <w:b w:val="0"/>
          <w:bCs w:val="0"/>
          <w:szCs w:val="20"/>
        </w:rPr>
        <w:t>inearit</w:t>
      </w:r>
      <w:r w:rsidR="006C6D2E" w:rsidRPr="00D71C6A">
        <w:rPr>
          <w:rStyle w:val="Strong"/>
          <w:rFonts w:eastAsiaTheme="majorEastAsia" w:cs="Times New Roman"/>
          <w:b w:val="0"/>
          <w:bCs w:val="0"/>
          <w:szCs w:val="20"/>
        </w:rPr>
        <w:t>y</w:t>
      </w:r>
    </w:p>
    <w:tbl>
      <w:tblPr>
        <w:tblStyle w:val="Style1"/>
        <w:tblW w:w="5000" w:type="pct"/>
        <w:tblLook w:val="0000" w:firstRow="0" w:lastRow="0" w:firstColumn="0" w:lastColumn="0" w:noHBand="0" w:noVBand="0"/>
      </w:tblPr>
      <w:tblGrid>
        <w:gridCol w:w="422"/>
        <w:gridCol w:w="1119"/>
        <w:gridCol w:w="936"/>
        <w:gridCol w:w="936"/>
        <w:gridCol w:w="1306"/>
        <w:gridCol w:w="749"/>
        <w:gridCol w:w="656"/>
        <w:gridCol w:w="1064"/>
        <w:gridCol w:w="749"/>
      </w:tblGrid>
      <w:tr w:rsidR="00DC72A0" w:rsidRPr="00D71C6A" w14:paraId="476B4A35" w14:textId="77777777" w:rsidTr="00286187">
        <w:trPr>
          <w:trHeight w:val="319"/>
        </w:trPr>
        <w:tc>
          <w:tcPr>
            <w:tcW w:w="5000" w:type="pct"/>
            <w:gridSpan w:val="9"/>
          </w:tcPr>
          <w:p w14:paraId="2099CD72"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b/>
                <w:bCs/>
                <w:color w:val="000000"/>
                <w:szCs w:val="20"/>
              </w:rPr>
              <w:t>Coefficients</w:t>
            </w:r>
            <w:r w:rsidRPr="00D71C6A">
              <w:rPr>
                <w:rFonts w:cs="Times New Roman"/>
                <w:b/>
                <w:bCs/>
                <w:color w:val="000000"/>
                <w:szCs w:val="20"/>
                <w:vertAlign w:val="superscript"/>
              </w:rPr>
              <w:t>a</w:t>
            </w:r>
          </w:p>
        </w:tc>
      </w:tr>
      <w:tr w:rsidR="00DC72A0" w:rsidRPr="00D71C6A" w14:paraId="2D6ABF5B" w14:textId="77777777" w:rsidTr="00286187">
        <w:trPr>
          <w:trHeight w:val="639"/>
        </w:trPr>
        <w:tc>
          <w:tcPr>
            <w:tcW w:w="968" w:type="pct"/>
            <w:gridSpan w:val="2"/>
            <w:vMerge w:val="restart"/>
          </w:tcPr>
          <w:p w14:paraId="7A0AAB24" w14:textId="77777777" w:rsidR="00DC72A0" w:rsidRPr="00D71C6A" w:rsidRDefault="00DC72A0"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Model</w:t>
            </w:r>
          </w:p>
        </w:tc>
        <w:tc>
          <w:tcPr>
            <w:tcW w:w="1181" w:type="pct"/>
            <w:gridSpan w:val="2"/>
          </w:tcPr>
          <w:p w14:paraId="065486C2"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Unstandardized Coefficients</w:t>
            </w:r>
          </w:p>
        </w:tc>
        <w:tc>
          <w:tcPr>
            <w:tcW w:w="827" w:type="pct"/>
          </w:tcPr>
          <w:p w14:paraId="73C26B8F"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Standardized Coefficients</w:t>
            </w:r>
          </w:p>
        </w:tc>
        <w:tc>
          <w:tcPr>
            <w:tcW w:w="471" w:type="pct"/>
            <w:vMerge w:val="restart"/>
          </w:tcPr>
          <w:p w14:paraId="04A537CD"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t</w:t>
            </w:r>
          </w:p>
        </w:tc>
        <w:tc>
          <w:tcPr>
            <w:tcW w:w="411" w:type="pct"/>
            <w:vMerge w:val="restart"/>
          </w:tcPr>
          <w:p w14:paraId="515A67D9"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Sig.</w:t>
            </w:r>
          </w:p>
        </w:tc>
        <w:tc>
          <w:tcPr>
            <w:tcW w:w="1143" w:type="pct"/>
            <w:gridSpan w:val="2"/>
          </w:tcPr>
          <w:p w14:paraId="144EC866"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Collinearity Statistics</w:t>
            </w:r>
          </w:p>
        </w:tc>
      </w:tr>
      <w:tr w:rsidR="00DC72A0" w:rsidRPr="00D71C6A" w14:paraId="107A6DA4" w14:textId="77777777" w:rsidTr="00286187">
        <w:trPr>
          <w:trHeight w:val="146"/>
        </w:trPr>
        <w:tc>
          <w:tcPr>
            <w:tcW w:w="968" w:type="pct"/>
            <w:gridSpan w:val="2"/>
            <w:vMerge/>
          </w:tcPr>
          <w:p w14:paraId="733BD8C7" w14:textId="77777777" w:rsidR="00DC72A0" w:rsidRPr="00D71C6A" w:rsidRDefault="00DC72A0" w:rsidP="00D71C6A">
            <w:pPr>
              <w:autoSpaceDE w:val="0"/>
              <w:autoSpaceDN w:val="0"/>
              <w:adjustRightInd w:val="0"/>
              <w:contextualSpacing/>
              <w:rPr>
                <w:rFonts w:cs="Times New Roman"/>
                <w:color w:val="000000"/>
                <w:szCs w:val="20"/>
              </w:rPr>
            </w:pPr>
          </w:p>
        </w:tc>
        <w:tc>
          <w:tcPr>
            <w:tcW w:w="590" w:type="pct"/>
          </w:tcPr>
          <w:p w14:paraId="59F83883"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B</w:t>
            </w:r>
          </w:p>
        </w:tc>
        <w:tc>
          <w:tcPr>
            <w:tcW w:w="590" w:type="pct"/>
          </w:tcPr>
          <w:p w14:paraId="229CDAEC"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Std. Error</w:t>
            </w:r>
          </w:p>
        </w:tc>
        <w:tc>
          <w:tcPr>
            <w:tcW w:w="827" w:type="pct"/>
          </w:tcPr>
          <w:p w14:paraId="768767B2"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Beta</w:t>
            </w:r>
          </w:p>
        </w:tc>
        <w:tc>
          <w:tcPr>
            <w:tcW w:w="471" w:type="pct"/>
            <w:vMerge/>
          </w:tcPr>
          <w:p w14:paraId="43A2214F" w14:textId="77777777" w:rsidR="00DC72A0" w:rsidRPr="00D71C6A" w:rsidRDefault="00DC72A0" w:rsidP="00D71C6A">
            <w:pPr>
              <w:autoSpaceDE w:val="0"/>
              <w:autoSpaceDN w:val="0"/>
              <w:adjustRightInd w:val="0"/>
              <w:contextualSpacing/>
              <w:rPr>
                <w:rFonts w:cs="Times New Roman"/>
                <w:color w:val="000000"/>
                <w:szCs w:val="20"/>
              </w:rPr>
            </w:pPr>
          </w:p>
        </w:tc>
        <w:tc>
          <w:tcPr>
            <w:tcW w:w="411" w:type="pct"/>
            <w:vMerge/>
          </w:tcPr>
          <w:p w14:paraId="3DE4A11A" w14:textId="77777777" w:rsidR="00DC72A0" w:rsidRPr="00D71C6A" w:rsidRDefault="00DC72A0" w:rsidP="00D71C6A">
            <w:pPr>
              <w:autoSpaceDE w:val="0"/>
              <w:autoSpaceDN w:val="0"/>
              <w:adjustRightInd w:val="0"/>
              <w:contextualSpacing/>
              <w:rPr>
                <w:rFonts w:cs="Times New Roman"/>
                <w:color w:val="000000"/>
                <w:szCs w:val="20"/>
              </w:rPr>
            </w:pPr>
          </w:p>
        </w:tc>
        <w:tc>
          <w:tcPr>
            <w:tcW w:w="672" w:type="pct"/>
          </w:tcPr>
          <w:p w14:paraId="07052E47"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Tolerance</w:t>
            </w:r>
          </w:p>
        </w:tc>
        <w:tc>
          <w:tcPr>
            <w:tcW w:w="471" w:type="pct"/>
          </w:tcPr>
          <w:p w14:paraId="6CCD065F" w14:textId="77777777" w:rsidR="00DC72A0" w:rsidRPr="00D71C6A" w:rsidRDefault="00DC72A0"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VIF</w:t>
            </w:r>
          </w:p>
        </w:tc>
      </w:tr>
      <w:tr w:rsidR="00DC72A0" w:rsidRPr="00D71C6A" w14:paraId="4056ED16" w14:textId="77777777" w:rsidTr="00286187">
        <w:trPr>
          <w:trHeight w:val="319"/>
        </w:trPr>
        <w:tc>
          <w:tcPr>
            <w:tcW w:w="261" w:type="pct"/>
            <w:vMerge w:val="restart"/>
          </w:tcPr>
          <w:p w14:paraId="43CCDB42" w14:textId="77777777" w:rsidR="00DC72A0" w:rsidRPr="00D71C6A" w:rsidRDefault="00DC72A0"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1</w:t>
            </w:r>
          </w:p>
        </w:tc>
        <w:tc>
          <w:tcPr>
            <w:tcW w:w="707" w:type="pct"/>
          </w:tcPr>
          <w:p w14:paraId="25045309" w14:textId="77777777" w:rsidR="00DC72A0" w:rsidRPr="00D71C6A" w:rsidRDefault="00DC72A0"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(Constant)</w:t>
            </w:r>
          </w:p>
        </w:tc>
        <w:tc>
          <w:tcPr>
            <w:tcW w:w="590" w:type="pct"/>
          </w:tcPr>
          <w:p w14:paraId="31F254DD"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356.286</w:t>
            </w:r>
          </w:p>
        </w:tc>
        <w:tc>
          <w:tcPr>
            <w:tcW w:w="590" w:type="pct"/>
          </w:tcPr>
          <w:p w14:paraId="38AE7EE6"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337.284</w:t>
            </w:r>
          </w:p>
        </w:tc>
        <w:tc>
          <w:tcPr>
            <w:tcW w:w="827" w:type="pct"/>
          </w:tcPr>
          <w:p w14:paraId="19470484" w14:textId="77777777" w:rsidR="00DC72A0" w:rsidRPr="00D71C6A" w:rsidRDefault="00DC72A0" w:rsidP="00D71C6A">
            <w:pPr>
              <w:autoSpaceDE w:val="0"/>
              <w:autoSpaceDN w:val="0"/>
              <w:adjustRightInd w:val="0"/>
              <w:contextualSpacing/>
              <w:rPr>
                <w:rFonts w:cs="Times New Roman"/>
                <w:szCs w:val="20"/>
              </w:rPr>
            </w:pPr>
          </w:p>
        </w:tc>
        <w:tc>
          <w:tcPr>
            <w:tcW w:w="471" w:type="pct"/>
          </w:tcPr>
          <w:p w14:paraId="5484EFF4"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1.056</w:t>
            </w:r>
          </w:p>
        </w:tc>
        <w:tc>
          <w:tcPr>
            <w:tcW w:w="411" w:type="pct"/>
          </w:tcPr>
          <w:p w14:paraId="0AF63FBB"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.001</w:t>
            </w:r>
          </w:p>
        </w:tc>
        <w:tc>
          <w:tcPr>
            <w:tcW w:w="672" w:type="pct"/>
          </w:tcPr>
          <w:p w14:paraId="23F7A57A" w14:textId="77777777" w:rsidR="00DC72A0" w:rsidRPr="00D71C6A" w:rsidRDefault="00DC72A0" w:rsidP="00D71C6A">
            <w:pPr>
              <w:autoSpaceDE w:val="0"/>
              <w:autoSpaceDN w:val="0"/>
              <w:adjustRightInd w:val="0"/>
              <w:contextualSpacing/>
              <w:rPr>
                <w:rFonts w:cs="Times New Roman"/>
                <w:szCs w:val="20"/>
              </w:rPr>
            </w:pPr>
          </w:p>
        </w:tc>
        <w:tc>
          <w:tcPr>
            <w:tcW w:w="471" w:type="pct"/>
          </w:tcPr>
          <w:p w14:paraId="6E940A2A" w14:textId="77777777" w:rsidR="00DC72A0" w:rsidRPr="00D71C6A" w:rsidRDefault="00DC72A0" w:rsidP="00D71C6A">
            <w:pPr>
              <w:autoSpaceDE w:val="0"/>
              <w:autoSpaceDN w:val="0"/>
              <w:adjustRightInd w:val="0"/>
              <w:contextualSpacing/>
              <w:rPr>
                <w:rFonts w:cs="Times New Roman"/>
                <w:szCs w:val="20"/>
              </w:rPr>
            </w:pPr>
          </w:p>
        </w:tc>
      </w:tr>
      <w:tr w:rsidR="00DC72A0" w:rsidRPr="00D71C6A" w14:paraId="77B9930E" w14:textId="77777777" w:rsidTr="00286187">
        <w:trPr>
          <w:trHeight w:val="146"/>
        </w:trPr>
        <w:tc>
          <w:tcPr>
            <w:tcW w:w="261" w:type="pct"/>
            <w:vMerge/>
          </w:tcPr>
          <w:p w14:paraId="61D23A55" w14:textId="77777777" w:rsidR="00DC72A0" w:rsidRPr="00D71C6A" w:rsidRDefault="00DC72A0" w:rsidP="00D71C6A">
            <w:pPr>
              <w:autoSpaceDE w:val="0"/>
              <w:autoSpaceDN w:val="0"/>
              <w:adjustRightInd w:val="0"/>
              <w:contextualSpacing/>
              <w:rPr>
                <w:rFonts w:cs="Times New Roman"/>
                <w:szCs w:val="20"/>
              </w:rPr>
            </w:pPr>
          </w:p>
        </w:tc>
        <w:tc>
          <w:tcPr>
            <w:tcW w:w="707" w:type="pct"/>
          </w:tcPr>
          <w:p w14:paraId="5914CACF" w14:textId="77777777" w:rsidR="00DC72A0" w:rsidRPr="00D71C6A" w:rsidRDefault="00DC72A0"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ROA</w:t>
            </w:r>
          </w:p>
        </w:tc>
        <w:tc>
          <w:tcPr>
            <w:tcW w:w="590" w:type="pct"/>
          </w:tcPr>
          <w:p w14:paraId="0DB551AD"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-242.355</w:t>
            </w:r>
          </w:p>
        </w:tc>
        <w:tc>
          <w:tcPr>
            <w:tcW w:w="590" w:type="pct"/>
          </w:tcPr>
          <w:p w14:paraId="000B1199"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306.197</w:t>
            </w:r>
          </w:p>
        </w:tc>
        <w:tc>
          <w:tcPr>
            <w:tcW w:w="827" w:type="pct"/>
          </w:tcPr>
          <w:p w14:paraId="43AED374"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-.355</w:t>
            </w:r>
          </w:p>
        </w:tc>
        <w:tc>
          <w:tcPr>
            <w:tcW w:w="471" w:type="pct"/>
          </w:tcPr>
          <w:p w14:paraId="24F2DDD0"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-.792</w:t>
            </w:r>
          </w:p>
        </w:tc>
        <w:tc>
          <w:tcPr>
            <w:tcW w:w="411" w:type="pct"/>
          </w:tcPr>
          <w:p w14:paraId="14343F6B"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.003</w:t>
            </w:r>
          </w:p>
        </w:tc>
        <w:tc>
          <w:tcPr>
            <w:tcW w:w="672" w:type="pct"/>
          </w:tcPr>
          <w:p w14:paraId="3371B0F5"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.046</w:t>
            </w:r>
          </w:p>
        </w:tc>
        <w:tc>
          <w:tcPr>
            <w:tcW w:w="471" w:type="pct"/>
          </w:tcPr>
          <w:p w14:paraId="2B9E6C9D"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7.700</w:t>
            </w:r>
          </w:p>
        </w:tc>
      </w:tr>
      <w:tr w:rsidR="00DC72A0" w:rsidRPr="00D71C6A" w14:paraId="790FECE8" w14:textId="77777777" w:rsidTr="00286187">
        <w:trPr>
          <w:trHeight w:val="146"/>
        </w:trPr>
        <w:tc>
          <w:tcPr>
            <w:tcW w:w="261" w:type="pct"/>
            <w:vMerge/>
          </w:tcPr>
          <w:p w14:paraId="254B7FFE" w14:textId="77777777" w:rsidR="00DC72A0" w:rsidRPr="00D71C6A" w:rsidRDefault="00DC72A0" w:rsidP="00D71C6A">
            <w:pPr>
              <w:autoSpaceDE w:val="0"/>
              <w:autoSpaceDN w:val="0"/>
              <w:adjustRightInd w:val="0"/>
              <w:contextualSpacing/>
              <w:rPr>
                <w:rFonts w:cs="Times New Roman"/>
                <w:color w:val="000000"/>
                <w:szCs w:val="20"/>
              </w:rPr>
            </w:pPr>
          </w:p>
        </w:tc>
        <w:tc>
          <w:tcPr>
            <w:tcW w:w="707" w:type="pct"/>
          </w:tcPr>
          <w:p w14:paraId="5C79E925" w14:textId="77777777" w:rsidR="00DC72A0" w:rsidRPr="00D71C6A" w:rsidRDefault="00DC72A0"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ROE</w:t>
            </w:r>
          </w:p>
        </w:tc>
        <w:tc>
          <w:tcPr>
            <w:tcW w:w="590" w:type="pct"/>
          </w:tcPr>
          <w:p w14:paraId="4BF22148"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64.186</w:t>
            </w:r>
          </w:p>
        </w:tc>
        <w:tc>
          <w:tcPr>
            <w:tcW w:w="590" w:type="pct"/>
          </w:tcPr>
          <w:p w14:paraId="22F3B621"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138.995</w:t>
            </w:r>
          </w:p>
        </w:tc>
        <w:tc>
          <w:tcPr>
            <w:tcW w:w="827" w:type="pct"/>
          </w:tcPr>
          <w:p w14:paraId="7A9EC3D6"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.175</w:t>
            </w:r>
          </w:p>
        </w:tc>
        <w:tc>
          <w:tcPr>
            <w:tcW w:w="471" w:type="pct"/>
          </w:tcPr>
          <w:p w14:paraId="37CBDD42"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.462</w:t>
            </w:r>
          </w:p>
        </w:tc>
        <w:tc>
          <w:tcPr>
            <w:tcW w:w="411" w:type="pct"/>
          </w:tcPr>
          <w:p w14:paraId="22F3F1D6"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.001</w:t>
            </w:r>
          </w:p>
        </w:tc>
        <w:tc>
          <w:tcPr>
            <w:tcW w:w="672" w:type="pct"/>
          </w:tcPr>
          <w:p w14:paraId="039175D0"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.065</w:t>
            </w:r>
          </w:p>
        </w:tc>
        <w:tc>
          <w:tcPr>
            <w:tcW w:w="471" w:type="pct"/>
          </w:tcPr>
          <w:p w14:paraId="7E616295"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5.495</w:t>
            </w:r>
          </w:p>
        </w:tc>
      </w:tr>
      <w:tr w:rsidR="00DC72A0" w:rsidRPr="00D71C6A" w14:paraId="5E907275" w14:textId="77777777" w:rsidTr="00286187">
        <w:trPr>
          <w:trHeight w:val="146"/>
        </w:trPr>
        <w:tc>
          <w:tcPr>
            <w:tcW w:w="261" w:type="pct"/>
            <w:vMerge/>
          </w:tcPr>
          <w:p w14:paraId="73006701" w14:textId="77777777" w:rsidR="00DC72A0" w:rsidRPr="00D71C6A" w:rsidRDefault="00DC72A0" w:rsidP="00D71C6A">
            <w:pPr>
              <w:autoSpaceDE w:val="0"/>
              <w:autoSpaceDN w:val="0"/>
              <w:adjustRightInd w:val="0"/>
              <w:contextualSpacing/>
              <w:rPr>
                <w:rFonts w:cs="Times New Roman"/>
                <w:color w:val="000000"/>
                <w:szCs w:val="20"/>
              </w:rPr>
            </w:pPr>
          </w:p>
        </w:tc>
        <w:tc>
          <w:tcPr>
            <w:tcW w:w="707" w:type="pct"/>
          </w:tcPr>
          <w:p w14:paraId="717C92C3" w14:textId="77777777" w:rsidR="00DC72A0" w:rsidRPr="00D71C6A" w:rsidRDefault="00DC72A0"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NPM</w:t>
            </w:r>
          </w:p>
        </w:tc>
        <w:tc>
          <w:tcPr>
            <w:tcW w:w="590" w:type="pct"/>
          </w:tcPr>
          <w:p w14:paraId="5317375A"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32.892</w:t>
            </w:r>
          </w:p>
        </w:tc>
        <w:tc>
          <w:tcPr>
            <w:tcW w:w="590" w:type="pct"/>
          </w:tcPr>
          <w:p w14:paraId="3CB362EB"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58.942</w:t>
            </w:r>
          </w:p>
        </w:tc>
        <w:tc>
          <w:tcPr>
            <w:tcW w:w="827" w:type="pct"/>
          </w:tcPr>
          <w:p w14:paraId="48E6A870"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.113</w:t>
            </w:r>
          </w:p>
        </w:tc>
        <w:tc>
          <w:tcPr>
            <w:tcW w:w="471" w:type="pct"/>
          </w:tcPr>
          <w:p w14:paraId="53D8AD13"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.558</w:t>
            </w:r>
          </w:p>
        </w:tc>
        <w:tc>
          <w:tcPr>
            <w:tcW w:w="411" w:type="pct"/>
          </w:tcPr>
          <w:p w14:paraId="3A748A52"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.002</w:t>
            </w:r>
          </w:p>
        </w:tc>
        <w:tc>
          <w:tcPr>
            <w:tcW w:w="672" w:type="pct"/>
          </w:tcPr>
          <w:p w14:paraId="23EB2C28"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.225</w:t>
            </w:r>
          </w:p>
        </w:tc>
        <w:tc>
          <w:tcPr>
            <w:tcW w:w="471" w:type="pct"/>
          </w:tcPr>
          <w:p w14:paraId="1009AF22"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4.447</w:t>
            </w:r>
          </w:p>
        </w:tc>
      </w:tr>
      <w:tr w:rsidR="00DC72A0" w:rsidRPr="00D71C6A" w14:paraId="66DA469D" w14:textId="77777777" w:rsidTr="00286187">
        <w:trPr>
          <w:trHeight w:val="146"/>
        </w:trPr>
        <w:tc>
          <w:tcPr>
            <w:tcW w:w="261" w:type="pct"/>
            <w:vMerge/>
          </w:tcPr>
          <w:p w14:paraId="6683DACD" w14:textId="77777777" w:rsidR="00DC72A0" w:rsidRPr="00D71C6A" w:rsidRDefault="00DC72A0" w:rsidP="00D71C6A">
            <w:pPr>
              <w:autoSpaceDE w:val="0"/>
              <w:autoSpaceDN w:val="0"/>
              <w:adjustRightInd w:val="0"/>
              <w:contextualSpacing/>
              <w:rPr>
                <w:rFonts w:cs="Times New Roman"/>
                <w:color w:val="000000"/>
                <w:szCs w:val="20"/>
              </w:rPr>
            </w:pPr>
          </w:p>
        </w:tc>
        <w:tc>
          <w:tcPr>
            <w:tcW w:w="707" w:type="pct"/>
          </w:tcPr>
          <w:p w14:paraId="6B6DE4AE" w14:textId="77777777" w:rsidR="00DC72A0" w:rsidRPr="00D71C6A" w:rsidRDefault="00DC72A0"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EPS</w:t>
            </w:r>
          </w:p>
        </w:tc>
        <w:tc>
          <w:tcPr>
            <w:tcW w:w="590" w:type="pct"/>
          </w:tcPr>
          <w:p w14:paraId="71EACADD"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7.963</w:t>
            </w:r>
          </w:p>
        </w:tc>
        <w:tc>
          <w:tcPr>
            <w:tcW w:w="590" w:type="pct"/>
          </w:tcPr>
          <w:p w14:paraId="5775709A"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1.017</w:t>
            </w:r>
          </w:p>
        </w:tc>
        <w:tc>
          <w:tcPr>
            <w:tcW w:w="827" w:type="pct"/>
          </w:tcPr>
          <w:p w14:paraId="4F6DA893"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.814</w:t>
            </w:r>
          </w:p>
        </w:tc>
        <w:tc>
          <w:tcPr>
            <w:tcW w:w="471" w:type="pct"/>
          </w:tcPr>
          <w:p w14:paraId="3CE8E712"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7.831</w:t>
            </w:r>
          </w:p>
        </w:tc>
        <w:tc>
          <w:tcPr>
            <w:tcW w:w="411" w:type="pct"/>
          </w:tcPr>
          <w:p w14:paraId="4DF564F2"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c>
          <w:tcPr>
            <w:tcW w:w="672" w:type="pct"/>
          </w:tcPr>
          <w:p w14:paraId="5A2E75B9"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.860</w:t>
            </w:r>
          </w:p>
        </w:tc>
        <w:tc>
          <w:tcPr>
            <w:tcW w:w="471" w:type="pct"/>
          </w:tcPr>
          <w:p w14:paraId="436723EE"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1.163</w:t>
            </w:r>
          </w:p>
        </w:tc>
      </w:tr>
      <w:tr w:rsidR="00DC72A0" w:rsidRPr="00D71C6A" w14:paraId="0D85F481" w14:textId="77777777" w:rsidTr="00286187">
        <w:trPr>
          <w:trHeight w:val="146"/>
        </w:trPr>
        <w:tc>
          <w:tcPr>
            <w:tcW w:w="261" w:type="pct"/>
            <w:vMerge/>
          </w:tcPr>
          <w:p w14:paraId="5ED3D71D" w14:textId="77777777" w:rsidR="00DC72A0" w:rsidRPr="00D71C6A" w:rsidRDefault="00DC72A0" w:rsidP="00D71C6A">
            <w:pPr>
              <w:autoSpaceDE w:val="0"/>
              <w:autoSpaceDN w:val="0"/>
              <w:adjustRightInd w:val="0"/>
              <w:contextualSpacing/>
              <w:rPr>
                <w:rFonts w:cs="Times New Roman"/>
                <w:color w:val="000000"/>
                <w:szCs w:val="20"/>
              </w:rPr>
            </w:pPr>
          </w:p>
        </w:tc>
        <w:tc>
          <w:tcPr>
            <w:tcW w:w="707" w:type="pct"/>
          </w:tcPr>
          <w:p w14:paraId="7FF06AD1" w14:textId="77777777" w:rsidR="00DC72A0" w:rsidRPr="00D71C6A" w:rsidRDefault="00DC72A0"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DER</w:t>
            </w:r>
          </w:p>
        </w:tc>
        <w:tc>
          <w:tcPr>
            <w:tcW w:w="590" w:type="pct"/>
          </w:tcPr>
          <w:p w14:paraId="453EDAB9"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105.402</w:t>
            </w:r>
          </w:p>
        </w:tc>
        <w:tc>
          <w:tcPr>
            <w:tcW w:w="590" w:type="pct"/>
          </w:tcPr>
          <w:p w14:paraId="1759BC5B"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165.376</w:t>
            </w:r>
          </w:p>
        </w:tc>
        <w:tc>
          <w:tcPr>
            <w:tcW w:w="827" w:type="pct"/>
          </w:tcPr>
          <w:p w14:paraId="689BBE08"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.064</w:t>
            </w:r>
          </w:p>
        </w:tc>
        <w:tc>
          <w:tcPr>
            <w:tcW w:w="471" w:type="pct"/>
          </w:tcPr>
          <w:p w14:paraId="39D623FB"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.637</w:t>
            </w:r>
          </w:p>
        </w:tc>
        <w:tc>
          <w:tcPr>
            <w:tcW w:w="411" w:type="pct"/>
          </w:tcPr>
          <w:p w14:paraId="672F1D50"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c>
          <w:tcPr>
            <w:tcW w:w="672" w:type="pct"/>
          </w:tcPr>
          <w:p w14:paraId="15846AB2"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.932</w:t>
            </w:r>
          </w:p>
        </w:tc>
        <w:tc>
          <w:tcPr>
            <w:tcW w:w="471" w:type="pct"/>
          </w:tcPr>
          <w:p w14:paraId="13FDDFF8" w14:textId="77777777" w:rsidR="00DC72A0" w:rsidRPr="00D71C6A" w:rsidRDefault="00DC72A0"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1.073</w:t>
            </w:r>
          </w:p>
        </w:tc>
      </w:tr>
      <w:tr w:rsidR="00DC72A0" w:rsidRPr="00D71C6A" w14:paraId="46D5B06C" w14:textId="77777777" w:rsidTr="00286187">
        <w:trPr>
          <w:trHeight w:val="304"/>
        </w:trPr>
        <w:tc>
          <w:tcPr>
            <w:tcW w:w="5000" w:type="pct"/>
            <w:gridSpan w:val="9"/>
          </w:tcPr>
          <w:p w14:paraId="6701B04F" w14:textId="77777777" w:rsidR="00DC72A0" w:rsidRPr="00D71C6A" w:rsidRDefault="00DC72A0"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a. Dependent Variable: Harga_Saham</w:t>
            </w:r>
          </w:p>
        </w:tc>
      </w:tr>
    </w:tbl>
    <w:p w14:paraId="0E4BB634" w14:textId="77777777" w:rsidR="00286187" w:rsidRDefault="00286187" w:rsidP="00286187"/>
    <w:p w14:paraId="6D3E4259" w14:textId="0999970D" w:rsidR="00774B14" w:rsidRPr="00D71C6A" w:rsidRDefault="00286187" w:rsidP="00286187">
      <w:r>
        <w:tab/>
      </w:r>
      <w:r w:rsidR="006C6D2E" w:rsidRPr="00D71C6A">
        <w:t>The Tolerance values are all greater than 0.1 and the VIF values are all less than 10. Thus, no serious multicollinearity problem is detected.</w:t>
      </w:r>
    </w:p>
    <w:p w14:paraId="12D92039" w14:textId="77777777" w:rsidR="00286187" w:rsidRDefault="00286187" w:rsidP="00286187">
      <w:pPr>
        <w:pStyle w:val="NormalWeb"/>
        <w:spacing w:before="0" w:beforeAutospacing="0" w:after="0" w:afterAutospacing="0"/>
        <w:rPr>
          <w:b/>
          <w:bCs/>
          <w:noProof/>
          <w:sz w:val="20"/>
          <w:szCs w:val="20"/>
        </w:rPr>
      </w:pPr>
    </w:p>
    <w:p w14:paraId="6223C7A3" w14:textId="204F0756" w:rsidR="007D358F" w:rsidRPr="00D71C6A" w:rsidRDefault="006C6D2E" w:rsidP="00286187">
      <w:pPr>
        <w:pStyle w:val="NormalWeb"/>
        <w:spacing w:before="0" w:beforeAutospacing="0" w:after="0" w:afterAutospacing="0"/>
        <w:rPr>
          <w:b/>
          <w:bCs/>
          <w:noProof/>
          <w:sz w:val="20"/>
          <w:szCs w:val="20"/>
        </w:rPr>
      </w:pPr>
      <w:r w:rsidRPr="00D71C6A">
        <w:rPr>
          <w:b/>
          <w:bCs/>
          <w:noProof/>
          <w:sz w:val="20"/>
          <w:szCs w:val="20"/>
        </w:rPr>
        <w:t>Autocorrelation Test</w:t>
      </w:r>
    </w:p>
    <w:p w14:paraId="42A76148" w14:textId="2EB5E41A" w:rsidR="003D3377" w:rsidRPr="00D71C6A" w:rsidRDefault="00286187" w:rsidP="00286187">
      <w:r>
        <w:tab/>
      </w:r>
      <w:r w:rsidR="006C6D2E" w:rsidRPr="00D71C6A">
        <w:t>The autocorrelation test aims to determine whether there is a relationship between the residual error in the previous period</w:t>
      </w:r>
      <w:r w:rsidR="007D358F" w:rsidRPr="00D71C6A">
        <w:t xml:space="preserve"> (t-1) </w:t>
      </w:r>
      <w:r w:rsidR="006C6D2E" w:rsidRPr="00D71C6A">
        <w:t>and the residual error in the current period  (t) within the linear regression model. If such a relationship is found, the condition is referred to as autocorrelation.</w:t>
      </w:r>
    </w:p>
    <w:p w14:paraId="0CFBFCAE" w14:textId="77777777" w:rsidR="00E71999" w:rsidRPr="00286187" w:rsidRDefault="00E71999" w:rsidP="00286187"/>
    <w:p w14:paraId="05BD2676" w14:textId="71118112" w:rsidR="006C6D2E" w:rsidRPr="00D71C6A" w:rsidRDefault="006C6D2E" w:rsidP="00286187">
      <w:pPr>
        <w:jc w:val="center"/>
      </w:pPr>
      <w:r w:rsidRPr="00D71C6A">
        <w:t>Table 5. Autocorrelation Test</w:t>
      </w:r>
    </w:p>
    <w:tbl>
      <w:tblPr>
        <w:tblStyle w:val="Style1"/>
        <w:tblpPr w:leftFromText="180" w:rightFromText="180" w:vertAnchor="text" w:horzAnchor="margin" w:tblpXSpec="right" w:tblpY="33"/>
        <w:tblW w:w="5000" w:type="pct"/>
        <w:tblLook w:val="0000" w:firstRow="0" w:lastRow="0" w:firstColumn="0" w:lastColumn="0" w:noHBand="0" w:noVBand="0"/>
      </w:tblPr>
      <w:tblGrid>
        <w:gridCol w:w="859"/>
        <w:gridCol w:w="1026"/>
        <w:gridCol w:w="1180"/>
        <w:gridCol w:w="1624"/>
        <w:gridCol w:w="1624"/>
        <w:gridCol w:w="1624"/>
      </w:tblGrid>
      <w:tr w:rsidR="006C6D2E" w:rsidRPr="00D71C6A" w14:paraId="1CCB53F5" w14:textId="77777777" w:rsidTr="00286187">
        <w:tc>
          <w:tcPr>
            <w:tcW w:w="5000" w:type="pct"/>
            <w:gridSpan w:val="6"/>
          </w:tcPr>
          <w:p w14:paraId="158EA7E2" w14:textId="77777777" w:rsidR="006C6D2E" w:rsidRPr="00D71C6A" w:rsidRDefault="006C6D2E" w:rsidP="00D71C6A">
            <w:pPr>
              <w:pStyle w:val="ListParagraph"/>
              <w:numPr>
                <w:ilvl w:val="0"/>
                <w:numId w:val="3"/>
              </w:numPr>
              <w:autoSpaceDE w:val="0"/>
              <w:autoSpaceDN w:val="0"/>
              <w:adjustRightInd w:val="0"/>
              <w:ind w:right="60"/>
              <w:jc w:val="center"/>
              <w:rPr>
                <w:rFonts w:cs="Times New Roman"/>
                <w:color w:val="000000"/>
                <w:szCs w:val="20"/>
              </w:rPr>
            </w:pPr>
            <w:r w:rsidRPr="00D71C6A">
              <w:rPr>
                <w:rFonts w:cs="Times New Roman"/>
                <w:b/>
                <w:bCs/>
                <w:color w:val="000000"/>
                <w:szCs w:val="20"/>
              </w:rPr>
              <w:t>Model Summary</w:t>
            </w:r>
            <w:r w:rsidRPr="00D71C6A">
              <w:rPr>
                <w:rFonts w:cs="Times New Roman"/>
                <w:b/>
                <w:bCs/>
                <w:color w:val="000000"/>
                <w:szCs w:val="20"/>
                <w:vertAlign w:val="superscript"/>
              </w:rPr>
              <w:t>b</w:t>
            </w:r>
          </w:p>
        </w:tc>
      </w:tr>
      <w:tr w:rsidR="006C6D2E" w:rsidRPr="00D71C6A" w14:paraId="6768918D" w14:textId="77777777" w:rsidTr="00286187">
        <w:tc>
          <w:tcPr>
            <w:tcW w:w="505" w:type="pct"/>
          </w:tcPr>
          <w:p w14:paraId="3F60A317" w14:textId="77777777" w:rsidR="006C6D2E" w:rsidRPr="00D71C6A" w:rsidRDefault="006C6D2E"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Model</w:t>
            </w:r>
          </w:p>
        </w:tc>
        <w:tc>
          <w:tcPr>
            <w:tcW w:w="654" w:type="pct"/>
          </w:tcPr>
          <w:p w14:paraId="795D6EF6" w14:textId="77777777" w:rsidR="006C6D2E" w:rsidRPr="00D71C6A" w:rsidRDefault="006C6D2E"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R</w:t>
            </w:r>
          </w:p>
        </w:tc>
        <w:tc>
          <w:tcPr>
            <w:tcW w:w="751" w:type="pct"/>
          </w:tcPr>
          <w:p w14:paraId="1076C9C2" w14:textId="77777777" w:rsidR="006C6D2E" w:rsidRPr="00D71C6A" w:rsidRDefault="006C6D2E"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R Square</w:t>
            </w:r>
          </w:p>
        </w:tc>
        <w:tc>
          <w:tcPr>
            <w:tcW w:w="1030" w:type="pct"/>
          </w:tcPr>
          <w:p w14:paraId="3826CAA7" w14:textId="77777777" w:rsidR="006C6D2E" w:rsidRPr="00D71C6A" w:rsidRDefault="006C6D2E"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Adjusted R Square</w:t>
            </w:r>
          </w:p>
        </w:tc>
        <w:tc>
          <w:tcPr>
            <w:tcW w:w="1030" w:type="pct"/>
          </w:tcPr>
          <w:p w14:paraId="433944D4" w14:textId="77777777" w:rsidR="006C6D2E" w:rsidRPr="00D71C6A" w:rsidRDefault="006C6D2E"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Std. Error of the Estimate</w:t>
            </w:r>
          </w:p>
        </w:tc>
        <w:tc>
          <w:tcPr>
            <w:tcW w:w="1030" w:type="pct"/>
          </w:tcPr>
          <w:p w14:paraId="071262E5" w14:textId="77777777" w:rsidR="006C6D2E" w:rsidRPr="00D71C6A" w:rsidRDefault="006C6D2E"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Durbin-Watson</w:t>
            </w:r>
          </w:p>
        </w:tc>
      </w:tr>
      <w:tr w:rsidR="006C6D2E" w:rsidRPr="00D71C6A" w14:paraId="0744C0E5" w14:textId="77777777" w:rsidTr="00286187">
        <w:tc>
          <w:tcPr>
            <w:tcW w:w="505" w:type="pct"/>
          </w:tcPr>
          <w:p w14:paraId="31A4CE6D" w14:textId="77777777" w:rsidR="006C6D2E" w:rsidRPr="00D71C6A" w:rsidRDefault="006C6D2E"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1</w:t>
            </w:r>
          </w:p>
        </w:tc>
        <w:tc>
          <w:tcPr>
            <w:tcW w:w="654" w:type="pct"/>
          </w:tcPr>
          <w:p w14:paraId="1A8FFD46" w14:textId="77777777" w:rsidR="006C6D2E" w:rsidRPr="00D71C6A" w:rsidRDefault="006C6D2E"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.781</w:t>
            </w:r>
            <w:r w:rsidRPr="00D71C6A">
              <w:rPr>
                <w:rFonts w:cs="Times New Roman"/>
                <w:color w:val="000000"/>
                <w:szCs w:val="20"/>
                <w:vertAlign w:val="superscript"/>
              </w:rPr>
              <w:t>a</w:t>
            </w:r>
          </w:p>
        </w:tc>
        <w:tc>
          <w:tcPr>
            <w:tcW w:w="751" w:type="pct"/>
          </w:tcPr>
          <w:p w14:paraId="20F41975" w14:textId="77777777" w:rsidR="006C6D2E" w:rsidRPr="00D71C6A" w:rsidRDefault="006C6D2E"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.610</w:t>
            </w:r>
          </w:p>
        </w:tc>
        <w:tc>
          <w:tcPr>
            <w:tcW w:w="1030" w:type="pct"/>
          </w:tcPr>
          <w:p w14:paraId="4F816BBA" w14:textId="77777777" w:rsidR="006C6D2E" w:rsidRPr="00D71C6A" w:rsidRDefault="006C6D2E"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.563</w:t>
            </w:r>
          </w:p>
        </w:tc>
        <w:tc>
          <w:tcPr>
            <w:tcW w:w="1030" w:type="pct"/>
          </w:tcPr>
          <w:p w14:paraId="330EB0B0" w14:textId="77777777" w:rsidR="006C6D2E" w:rsidRPr="00D71C6A" w:rsidRDefault="006C6D2E"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1477.498</w:t>
            </w:r>
          </w:p>
        </w:tc>
        <w:tc>
          <w:tcPr>
            <w:tcW w:w="1030" w:type="pct"/>
          </w:tcPr>
          <w:p w14:paraId="559D1BEA" w14:textId="77777777" w:rsidR="006C6D2E" w:rsidRPr="00D71C6A" w:rsidRDefault="006C6D2E"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1.866</w:t>
            </w:r>
          </w:p>
        </w:tc>
      </w:tr>
      <w:tr w:rsidR="006C6D2E" w:rsidRPr="00D71C6A" w14:paraId="2BC18EFA" w14:textId="77777777" w:rsidTr="00286187">
        <w:tc>
          <w:tcPr>
            <w:tcW w:w="5000" w:type="pct"/>
            <w:gridSpan w:val="6"/>
          </w:tcPr>
          <w:p w14:paraId="73A8BF58" w14:textId="77777777" w:rsidR="006C6D2E" w:rsidRPr="00D71C6A" w:rsidRDefault="006C6D2E"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a. Predictors: (Constant), DER, ROE, EPS, NPM, ROA</w:t>
            </w:r>
          </w:p>
        </w:tc>
      </w:tr>
      <w:tr w:rsidR="006C6D2E" w:rsidRPr="00D71C6A" w14:paraId="24E84C6B" w14:textId="77777777" w:rsidTr="00286187">
        <w:tc>
          <w:tcPr>
            <w:tcW w:w="5000" w:type="pct"/>
            <w:gridSpan w:val="6"/>
          </w:tcPr>
          <w:p w14:paraId="3B96D7F9" w14:textId="77777777" w:rsidR="006C6D2E" w:rsidRPr="00D71C6A" w:rsidRDefault="006C6D2E"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b. Dependent Variable: Harga_Saham</w:t>
            </w:r>
          </w:p>
        </w:tc>
      </w:tr>
      <w:tr w:rsidR="006C6D2E" w:rsidRPr="00D71C6A" w14:paraId="6BCFB958" w14:textId="77777777" w:rsidTr="00286187">
        <w:trPr>
          <w:trHeight w:val="421"/>
        </w:trPr>
        <w:tc>
          <w:tcPr>
            <w:tcW w:w="5000" w:type="pct"/>
            <w:gridSpan w:val="6"/>
          </w:tcPr>
          <w:p w14:paraId="67315D28" w14:textId="1936BBEF" w:rsidR="006C6D2E" w:rsidRPr="00D71C6A" w:rsidRDefault="006C6D2E" w:rsidP="00D71C6A">
            <w:pPr>
              <w:contextualSpacing/>
              <w:rPr>
                <w:rFonts w:cs="Times New Roman"/>
                <w:szCs w:val="20"/>
              </w:rPr>
            </w:pPr>
            <w:r w:rsidRPr="00D71C6A">
              <w:rPr>
                <w:rFonts w:cs="Times New Roman"/>
                <w:szCs w:val="20"/>
              </w:rPr>
              <w:t>Source: SPSS data processing results, 2025</w:t>
            </w:r>
          </w:p>
        </w:tc>
      </w:tr>
    </w:tbl>
    <w:p w14:paraId="7806F439" w14:textId="77777777" w:rsidR="006C6D2E" w:rsidRPr="00D71C6A" w:rsidRDefault="006C6D2E" w:rsidP="00D71C6A">
      <w:pPr>
        <w:pStyle w:val="NormalWeb"/>
        <w:spacing w:before="0" w:beforeAutospacing="0" w:after="0" w:afterAutospacing="0"/>
        <w:rPr>
          <w:noProof/>
          <w:sz w:val="20"/>
          <w:szCs w:val="20"/>
        </w:rPr>
      </w:pPr>
    </w:p>
    <w:p w14:paraId="088443F3" w14:textId="12FC9888" w:rsidR="00774B14" w:rsidRPr="00D71C6A" w:rsidRDefault="00286187" w:rsidP="00286187">
      <w:r>
        <w:tab/>
      </w:r>
      <w:r w:rsidR="003A4F73" w:rsidRPr="00D71C6A">
        <w:t xml:space="preserve">The Durbin-Watson value of 1.866 falls between </w:t>
      </w:r>
      <w:r w:rsidR="00774B14" w:rsidRPr="00D71C6A">
        <w:t>dU (1,7725) an</w:t>
      </w:r>
      <w:r w:rsidR="003A4F73" w:rsidRPr="00D71C6A">
        <w:t>d</w:t>
      </w:r>
      <w:r w:rsidR="00774B14" w:rsidRPr="00D71C6A">
        <w:t xml:space="preserve"> (4 – dU) = 2,2275, </w:t>
      </w:r>
      <w:r w:rsidR="003A4F73" w:rsidRPr="00D71C6A">
        <w:t>indicating no autocorrelation is present.</w:t>
      </w:r>
    </w:p>
    <w:p w14:paraId="7E715764" w14:textId="77777777" w:rsidR="00286187" w:rsidRDefault="00286187" w:rsidP="00286187">
      <w:pPr>
        <w:rPr>
          <w:rStyle w:val="Strong"/>
          <w:rFonts w:cs="Times New Roman"/>
          <w:szCs w:val="20"/>
        </w:rPr>
      </w:pPr>
    </w:p>
    <w:p w14:paraId="0C4D35AC" w14:textId="6ADEBFCF" w:rsidR="007D358F" w:rsidRPr="00D71C6A" w:rsidRDefault="003A4F73" w:rsidP="00286187">
      <w:pPr>
        <w:rPr>
          <w:rStyle w:val="Strong"/>
          <w:rFonts w:cs="Times New Roman"/>
          <w:szCs w:val="20"/>
        </w:rPr>
      </w:pPr>
      <w:r w:rsidRPr="00D71C6A">
        <w:rPr>
          <w:rStyle w:val="Strong"/>
          <w:rFonts w:cs="Times New Roman"/>
          <w:szCs w:val="20"/>
        </w:rPr>
        <w:t>Heterocedasticity Test</w:t>
      </w:r>
    </w:p>
    <w:p w14:paraId="46D4F34B" w14:textId="765CABA3" w:rsidR="003A4F73" w:rsidRDefault="00286187" w:rsidP="00286187">
      <w:r>
        <w:tab/>
      </w:r>
      <w:r w:rsidR="003A4F73" w:rsidRPr="00D71C6A">
        <w:t>The heteroscedasticity test aims to determine whether there is an inconsistency in the variance of the residuals across different observations within the regression model. In this study, the heteroscedasticity test is conducted using Spearman's rho method, which is a non-parametric correlation technique that measures the relationship between the absolute residual values and each of the independent variables.</w:t>
      </w:r>
    </w:p>
    <w:p w14:paraId="5C317F74" w14:textId="71F36D10" w:rsidR="00286187" w:rsidRDefault="00286187" w:rsidP="00286187"/>
    <w:p w14:paraId="22ABFC8B" w14:textId="3B04328B" w:rsidR="00286187" w:rsidRDefault="00286187" w:rsidP="00286187"/>
    <w:p w14:paraId="2B13D45E" w14:textId="32C6D3C5" w:rsidR="00286187" w:rsidRDefault="00286187" w:rsidP="00286187"/>
    <w:p w14:paraId="10B6FA32" w14:textId="56A90A88" w:rsidR="00286187" w:rsidRDefault="00286187" w:rsidP="00286187"/>
    <w:p w14:paraId="2E05F05A" w14:textId="34E28A95" w:rsidR="00286187" w:rsidRDefault="00286187" w:rsidP="00286187"/>
    <w:p w14:paraId="71EB4074" w14:textId="77777777" w:rsidR="00286187" w:rsidRPr="00D71C6A" w:rsidRDefault="00286187" w:rsidP="00286187"/>
    <w:p w14:paraId="6B7CB18A" w14:textId="72864D99" w:rsidR="003A4F73" w:rsidRPr="00D71C6A" w:rsidRDefault="003A4F73" w:rsidP="00286187">
      <w:pPr>
        <w:jc w:val="center"/>
      </w:pPr>
      <w:r w:rsidRPr="00D71C6A">
        <w:t xml:space="preserve">Table 6. </w:t>
      </w:r>
      <w:r w:rsidRPr="00D71C6A">
        <w:rPr>
          <w:rStyle w:val="Strong"/>
          <w:rFonts w:cs="Times New Roman"/>
          <w:b w:val="0"/>
          <w:bCs w:val="0"/>
          <w:szCs w:val="20"/>
        </w:rPr>
        <w:t>Heterocedasticity Test</w:t>
      </w:r>
    </w:p>
    <w:tbl>
      <w:tblPr>
        <w:tblStyle w:val="Style1"/>
        <w:tblW w:w="5000" w:type="pct"/>
        <w:tblLook w:val="0000" w:firstRow="0" w:lastRow="0" w:firstColumn="0" w:lastColumn="0" w:noHBand="0" w:noVBand="0"/>
      </w:tblPr>
      <w:tblGrid>
        <w:gridCol w:w="1206"/>
        <w:gridCol w:w="840"/>
        <w:gridCol w:w="1184"/>
        <w:gridCol w:w="779"/>
        <w:gridCol w:w="779"/>
        <w:gridCol w:w="779"/>
        <w:gridCol w:w="779"/>
        <w:gridCol w:w="751"/>
        <w:gridCol w:w="840"/>
      </w:tblGrid>
      <w:tr w:rsidR="007D358F" w:rsidRPr="00D71C6A" w14:paraId="6B1AE785" w14:textId="77777777" w:rsidTr="00286187">
        <w:trPr>
          <w:trHeight w:val="257"/>
        </w:trPr>
        <w:tc>
          <w:tcPr>
            <w:tcW w:w="5000" w:type="pct"/>
            <w:gridSpan w:val="9"/>
          </w:tcPr>
          <w:p w14:paraId="0FB9EF38" w14:textId="77777777" w:rsidR="007D358F" w:rsidRPr="00D71C6A" w:rsidRDefault="007D358F" w:rsidP="00D71C6A">
            <w:pPr>
              <w:autoSpaceDE w:val="0"/>
              <w:autoSpaceDN w:val="0"/>
              <w:adjustRightInd w:val="0"/>
              <w:ind w:left="60" w:right="60"/>
              <w:contextualSpacing/>
              <w:jc w:val="center"/>
              <w:rPr>
                <w:rFonts w:cs="Times New Roman"/>
                <w:color w:val="000000"/>
                <w:szCs w:val="20"/>
              </w:rPr>
            </w:pPr>
            <w:r w:rsidRPr="00D71C6A">
              <w:rPr>
                <w:rFonts w:cs="Times New Roman"/>
                <w:b/>
                <w:bCs/>
                <w:color w:val="000000"/>
                <w:szCs w:val="20"/>
              </w:rPr>
              <w:t>Correlations</w:t>
            </w:r>
          </w:p>
        </w:tc>
      </w:tr>
      <w:tr w:rsidR="007D358F" w:rsidRPr="00D71C6A" w14:paraId="4A2FEA0E" w14:textId="77777777" w:rsidTr="00286187">
        <w:trPr>
          <w:trHeight w:val="527"/>
        </w:trPr>
        <w:tc>
          <w:tcPr>
            <w:tcW w:w="2033" w:type="pct"/>
            <w:gridSpan w:val="3"/>
          </w:tcPr>
          <w:p w14:paraId="0230D1A8" w14:textId="77777777" w:rsidR="007D358F" w:rsidRPr="00D71C6A" w:rsidRDefault="007D358F" w:rsidP="00D71C6A">
            <w:pPr>
              <w:autoSpaceDE w:val="0"/>
              <w:autoSpaceDN w:val="0"/>
              <w:adjustRightInd w:val="0"/>
              <w:contextualSpacing/>
              <w:rPr>
                <w:rFonts w:cs="Times New Roman"/>
                <w:szCs w:val="20"/>
              </w:rPr>
            </w:pPr>
          </w:p>
        </w:tc>
        <w:tc>
          <w:tcPr>
            <w:tcW w:w="491" w:type="pct"/>
          </w:tcPr>
          <w:p w14:paraId="25E7C2B8" w14:textId="77777777" w:rsidR="007D358F" w:rsidRPr="00D71C6A" w:rsidRDefault="007D358F"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ROA</w:t>
            </w:r>
          </w:p>
        </w:tc>
        <w:tc>
          <w:tcPr>
            <w:tcW w:w="491" w:type="pct"/>
          </w:tcPr>
          <w:p w14:paraId="4725D886" w14:textId="77777777" w:rsidR="007D358F" w:rsidRPr="00D71C6A" w:rsidRDefault="007D358F"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ROE</w:t>
            </w:r>
          </w:p>
        </w:tc>
        <w:tc>
          <w:tcPr>
            <w:tcW w:w="491" w:type="pct"/>
          </w:tcPr>
          <w:p w14:paraId="11F068B2" w14:textId="77777777" w:rsidR="007D358F" w:rsidRPr="00D71C6A" w:rsidRDefault="007D358F"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NPM</w:t>
            </w:r>
          </w:p>
        </w:tc>
        <w:tc>
          <w:tcPr>
            <w:tcW w:w="491" w:type="pct"/>
          </w:tcPr>
          <w:p w14:paraId="4EED2A3D" w14:textId="77777777" w:rsidR="007D358F" w:rsidRPr="00D71C6A" w:rsidRDefault="007D358F"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EPS</w:t>
            </w:r>
          </w:p>
        </w:tc>
        <w:tc>
          <w:tcPr>
            <w:tcW w:w="473" w:type="pct"/>
          </w:tcPr>
          <w:p w14:paraId="7B7A3B20" w14:textId="77777777" w:rsidR="007D358F" w:rsidRPr="00D71C6A" w:rsidRDefault="007D358F"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DER</w:t>
            </w:r>
          </w:p>
        </w:tc>
        <w:tc>
          <w:tcPr>
            <w:tcW w:w="530" w:type="pct"/>
          </w:tcPr>
          <w:p w14:paraId="1B3B3A15" w14:textId="77777777" w:rsidR="007D358F" w:rsidRPr="00D71C6A" w:rsidRDefault="007D358F"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Harga Saham</w:t>
            </w:r>
          </w:p>
        </w:tc>
      </w:tr>
      <w:tr w:rsidR="007D358F" w:rsidRPr="00D71C6A" w14:paraId="0A008BC6" w14:textId="77777777" w:rsidTr="00286187">
        <w:trPr>
          <w:trHeight w:val="515"/>
        </w:trPr>
        <w:tc>
          <w:tcPr>
            <w:tcW w:w="752" w:type="pct"/>
            <w:vMerge w:val="restart"/>
          </w:tcPr>
          <w:p w14:paraId="2B32FE4B" w14:textId="1BD5A4AD"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Spearman</w:t>
            </w:r>
            <w:r w:rsidR="00286187">
              <w:rPr>
                <w:rFonts w:cs="Times New Roman"/>
                <w:color w:val="000000"/>
                <w:szCs w:val="20"/>
              </w:rPr>
              <w:t>’</w:t>
            </w:r>
            <w:r w:rsidRPr="00D71C6A">
              <w:rPr>
                <w:rFonts w:cs="Times New Roman"/>
                <w:color w:val="000000"/>
                <w:szCs w:val="20"/>
              </w:rPr>
              <w:t>s rho</w:t>
            </w:r>
          </w:p>
        </w:tc>
        <w:tc>
          <w:tcPr>
            <w:tcW w:w="530" w:type="pct"/>
            <w:vMerge w:val="restart"/>
          </w:tcPr>
          <w:p w14:paraId="5E52499A"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ROA</w:t>
            </w:r>
          </w:p>
        </w:tc>
        <w:tc>
          <w:tcPr>
            <w:tcW w:w="750" w:type="pct"/>
          </w:tcPr>
          <w:p w14:paraId="15DE884B"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Correlation Coefficient</w:t>
            </w:r>
          </w:p>
        </w:tc>
        <w:tc>
          <w:tcPr>
            <w:tcW w:w="491" w:type="pct"/>
          </w:tcPr>
          <w:p w14:paraId="151F5594"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1.000</w:t>
            </w:r>
          </w:p>
        </w:tc>
        <w:tc>
          <w:tcPr>
            <w:tcW w:w="491" w:type="pct"/>
          </w:tcPr>
          <w:p w14:paraId="6E22C84F"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.885</w:t>
            </w:r>
            <w:r w:rsidRPr="00D71C6A">
              <w:rPr>
                <w:rFonts w:cs="Times New Roman"/>
                <w:color w:val="000000"/>
                <w:szCs w:val="20"/>
                <w:vertAlign w:val="superscript"/>
              </w:rPr>
              <w:t>**</w:t>
            </w:r>
          </w:p>
        </w:tc>
        <w:tc>
          <w:tcPr>
            <w:tcW w:w="491" w:type="pct"/>
          </w:tcPr>
          <w:p w14:paraId="476B6BB8"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.924</w:t>
            </w:r>
            <w:r w:rsidRPr="00D71C6A">
              <w:rPr>
                <w:rFonts w:cs="Times New Roman"/>
                <w:color w:val="000000"/>
                <w:szCs w:val="20"/>
                <w:vertAlign w:val="superscript"/>
              </w:rPr>
              <w:t>**</w:t>
            </w:r>
          </w:p>
        </w:tc>
        <w:tc>
          <w:tcPr>
            <w:tcW w:w="491" w:type="pct"/>
          </w:tcPr>
          <w:p w14:paraId="7F1056C5"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.369</w:t>
            </w:r>
            <w:r w:rsidRPr="00D71C6A">
              <w:rPr>
                <w:rFonts w:cs="Times New Roman"/>
                <w:color w:val="000000"/>
                <w:szCs w:val="20"/>
                <w:vertAlign w:val="superscript"/>
              </w:rPr>
              <w:t>**</w:t>
            </w:r>
          </w:p>
        </w:tc>
        <w:tc>
          <w:tcPr>
            <w:tcW w:w="473" w:type="pct"/>
          </w:tcPr>
          <w:p w14:paraId="30DDB71B"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-.158</w:t>
            </w:r>
          </w:p>
        </w:tc>
        <w:tc>
          <w:tcPr>
            <w:tcW w:w="530" w:type="pct"/>
          </w:tcPr>
          <w:p w14:paraId="44C6643F"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.298</w:t>
            </w:r>
            <w:r w:rsidRPr="00D71C6A">
              <w:rPr>
                <w:rFonts w:cs="Times New Roman"/>
                <w:color w:val="000000"/>
                <w:szCs w:val="20"/>
                <w:vertAlign w:val="superscript"/>
              </w:rPr>
              <w:t>*</w:t>
            </w:r>
          </w:p>
        </w:tc>
      </w:tr>
      <w:tr w:rsidR="007D358F" w:rsidRPr="00D71C6A" w14:paraId="043FFC93" w14:textId="77777777" w:rsidTr="00286187">
        <w:trPr>
          <w:trHeight w:val="117"/>
        </w:trPr>
        <w:tc>
          <w:tcPr>
            <w:tcW w:w="752" w:type="pct"/>
            <w:vMerge/>
          </w:tcPr>
          <w:p w14:paraId="51FED7F6"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tcPr>
          <w:p w14:paraId="38AFD893" w14:textId="77777777" w:rsidR="007D358F" w:rsidRPr="00D71C6A" w:rsidRDefault="007D358F" w:rsidP="00D71C6A">
            <w:pPr>
              <w:autoSpaceDE w:val="0"/>
              <w:autoSpaceDN w:val="0"/>
              <w:adjustRightInd w:val="0"/>
              <w:contextualSpacing/>
              <w:rPr>
                <w:rFonts w:cs="Times New Roman"/>
                <w:color w:val="000000"/>
                <w:szCs w:val="20"/>
              </w:rPr>
            </w:pPr>
          </w:p>
        </w:tc>
        <w:tc>
          <w:tcPr>
            <w:tcW w:w="750" w:type="pct"/>
          </w:tcPr>
          <w:p w14:paraId="4D1461EF"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Sig. (2-tailed)</w:t>
            </w:r>
          </w:p>
        </w:tc>
        <w:tc>
          <w:tcPr>
            <w:tcW w:w="491" w:type="pct"/>
          </w:tcPr>
          <w:p w14:paraId="21FDE232"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w:t>
            </w:r>
          </w:p>
        </w:tc>
        <w:tc>
          <w:tcPr>
            <w:tcW w:w="491" w:type="pct"/>
          </w:tcPr>
          <w:p w14:paraId="23DB5FDF"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c>
          <w:tcPr>
            <w:tcW w:w="491" w:type="pct"/>
          </w:tcPr>
          <w:p w14:paraId="31F9C155"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c>
          <w:tcPr>
            <w:tcW w:w="491" w:type="pct"/>
          </w:tcPr>
          <w:p w14:paraId="557AB31E"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.010</w:t>
            </w:r>
          </w:p>
        </w:tc>
        <w:tc>
          <w:tcPr>
            <w:tcW w:w="473" w:type="pct"/>
          </w:tcPr>
          <w:p w14:paraId="5F366C8C"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.285</w:t>
            </w:r>
          </w:p>
        </w:tc>
        <w:tc>
          <w:tcPr>
            <w:tcW w:w="530" w:type="pct"/>
          </w:tcPr>
          <w:p w14:paraId="45EF3138"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.040</w:t>
            </w:r>
          </w:p>
        </w:tc>
      </w:tr>
      <w:tr w:rsidR="007D358F" w:rsidRPr="00D71C6A" w14:paraId="4650B1EB" w14:textId="77777777" w:rsidTr="00286187">
        <w:trPr>
          <w:trHeight w:val="117"/>
        </w:trPr>
        <w:tc>
          <w:tcPr>
            <w:tcW w:w="752" w:type="pct"/>
            <w:vMerge/>
          </w:tcPr>
          <w:p w14:paraId="25C954F7"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val="restart"/>
          </w:tcPr>
          <w:p w14:paraId="37CD5F19"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ROE</w:t>
            </w:r>
          </w:p>
        </w:tc>
        <w:tc>
          <w:tcPr>
            <w:tcW w:w="750" w:type="pct"/>
          </w:tcPr>
          <w:p w14:paraId="5CC613FA"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Correlation Coefficient</w:t>
            </w:r>
          </w:p>
        </w:tc>
        <w:tc>
          <w:tcPr>
            <w:tcW w:w="491" w:type="pct"/>
          </w:tcPr>
          <w:p w14:paraId="35F94C1E"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.885</w:t>
            </w:r>
            <w:r w:rsidRPr="00D71C6A">
              <w:rPr>
                <w:rFonts w:cs="Times New Roman"/>
                <w:color w:val="000000"/>
                <w:szCs w:val="20"/>
                <w:vertAlign w:val="superscript"/>
              </w:rPr>
              <w:t>**</w:t>
            </w:r>
          </w:p>
        </w:tc>
        <w:tc>
          <w:tcPr>
            <w:tcW w:w="491" w:type="pct"/>
          </w:tcPr>
          <w:p w14:paraId="37E9DCC3"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1.000</w:t>
            </w:r>
          </w:p>
        </w:tc>
        <w:tc>
          <w:tcPr>
            <w:tcW w:w="491" w:type="pct"/>
          </w:tcPr>
          <w:p w14:paraId="21C6F1B8"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.788</w:t>
            </w:r>
            <w:r w:rsidRPr="00D71C6A">
              <w:rPr>
                <w:rFonts w:cs="Times New Roman"/>
                <w:color w:val="000000"/>
                <w:szCs w:val="20"/>
                <w:vertAlign w:val="superscript"/>
              </w:rPr>
              <w:t>**</w:t>
            </w:r>
          </w:p>
        </w:tc>
        <w:tc>
          <w:tcPr>
            <w:tcW w:w="491" w:type="pct"/>
          </w:tcPr>
          <w:p w14:paraId="6833E141"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.291</w:t>
            </w:r>
            <w:r w:rsidRPr="00D71C6A">
              <w:rPr>
                <w:rFonts w:cs="Times New Roman"/>
                <w:color w:val="000000"/>
                <w:szCs w:val="20"/>
                <w:vertAlign w:val="superscript"/>
              </w:rPr>
              <w:t>*</w:t>
            </w:r>
          </w:p>
        </w:tc>
        <w:tc>
          <w:tcPr>
            <w:tcW w:w="473" w:type="pct"/>
          </w:tcPr>
          <w:p w14:paraId="29556A68"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-.016</w:t>
            </w:r>
          </w:p>
        </w:tc>
        <w:tc>
          <w:tcPr>
            <w:tcW w:w="530" w:type="pct"/>
          </w:tcPr>
          <w:p w14:paraId="4CDFF1EB"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.350</w:t>
            </w:r>
            <w:r w:rsidRPr="00D71C6A">
              <w:rPr>
                <w:rFonts w:cs="Times New Roman"/>
                <w:color w:val="000000"/>
                <w:szCs w:val="20"/>
                <w:vertAlign w:val="superscript"/>
              </w:rPr>
              <w:t>*</w:t>
            </w:r>
          </w:p>
        </w:tc>
      </w:tr>
      <w:tr w:rsidR="007D358F" w:rsidRPr="00D71C6A" w14:paraId="77A8E809" w14:textId="77777777" w:rsidTr="00286187">
        <w:trPr>
          <w:trHeight w:val="117"/>
        </w:trPr>
        <w:tc>
          <w:tcPr>
            <w:tcW w:w="752" w:type="pct"/>
            <w:vMerge/>
          </w:tcPr>
          <w:p w14:paraId="20C64D47"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tcPr>
          <w:p w14:paraId="728F6C84" w14:textId="77777777" w:rsidR="007D358F" w:rsidRPr="00D71C6A" w:rsidRDefault="007D358F" w:rsidP="00D71C6A">
            <w:pPr>
              <w:autoSpaceDE w:val="0"/>
              <w:autoSpaceDN w:val="0"/>
              <w:adjustRightInd w:val="0"/>
              <w:contextualSpacing/>
              <w:rPr>
                <w:rFonts w:cs="Times New Roman"/>
                <w:color w:val="000000"/>
                <w:szCs w:val="20"/>
              </w:rPr>
            </w:pPr>
          </w:p>
        </w:tc>
        <w:tc>
          <w:tcPr>
            <w:tcW w:w="750" w:type="pct"/>
          </w:tcPr>
          <w:p w14:paraId="0342E7FD"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Sig. (2-tailed)</w:t>
            </w:r>
          </w:p>
        </w:tc>
        <w:tc>
          <w:tcPr>
            <w:tcW w:w="491" w:type="pct"/>
          </w:tcPr>
          <w:p w14:paraId="38CA74E8"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c>
          <w:tcPr>
            <w:tcW w:w="491" w:type="pct"/>
          </w:tcPr>
          <w:p w14:paraId="49F3B143"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w:t>
            </w:r>
          </w:p>
        </w:tc>
        <w:tc>
          <w:tcPr>
            <w:tcW w:w="491" w:type="pct"/>
          </w:tcPr>
          <w:p w14:paraId="24E44509"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c>
          <w:tcPr>
            <w:tcW w:w="491" w:type="pct"/>
          </w:tcPr>
          <w:p w14:paraId="6439411C"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.045</w:t>
            </w:r>
          </w:p>
        </w:tc>
        <w:tc>
          <w:tcPr>
            <w:tcW w:w="473" w:type="pct"/>
          </w:tcPr>
          <w:p w14:paraId="0383BD05"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.914</w:t>
            </w:r>
          </w:p>
        </w:tc>
        <w:tc>
          <w:tcPr>
            <w:tcW w:w="530" w:type="pct"/>
          </w:tcPr>
          <w:p w14:paraId="6FF7273B"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.015</w:t>
            </w:r>
          </w:p>
        </w:tc>
      </w:tr>
      <w:tr w:rsidR="007D358F" w:rsidRPr="00D71C6A" w14:paraId="7F6DAB95" w14:textId="77777777" w:rsidTr="00286187">
        <w:trPr>
          <w:trHeight w:val="117"/>
        </w:trPr>
        <w:tc>
          <w:tcPr>
            <w:tcW w:w="752" w:type="pct"/>
            <w:vMerge/>
          </w:tcPr>
          <w:p w14:paraId="25DA86CD"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val="restart"/>
          </w:tcPr>
          <w:p w14:paraId="4B721EBE"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NPM</w:t>
            </w:r>
          </w:p>
        </w:tc>
        <w:tc>
          <w:tcPr>
            <w:tcW w:w="750" w:type="pct"/>
          </w:tcPr>
          <w:p w14:paraId="741248AB"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Correlation Coefficient</w:t>
            </w:r>
          </w:p>
        </w:tc>
        <w:tc>
          <w:tcPr>
            <w:tcW w:w="491" w:type="pct"/>
          </w:tcPr>
          <w:p w14:paraId="7C7ACCAA"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.924</w:t>
            </w:r>
            <w:r w:rsidRPr="00D71C6A">
              <w:rPr>
                <w:rFonts w:cs="Times New Roman"/>
                <w:color w:val="000000"/>
                <w:szCs w:val="20"/>
                <w:vertAlign w:val="superscript"/>
              </w:rPr>
              <w:t>**</w:t>
            </w:r>
          </w:p>
        </w:tc>
        <w:tc>
          <w:tcPr>
            <w:tcW w:w="491" w:type="pct"/>
          </w:tcPr>
          <w:p w14:paraId="0E0AA267"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.788</w:t>
            </w:r>
            <w:r w:rsidRPr="00D71C6A">
              <w:rPr>
                <w:rFonts w:cs="Times New Roman"/>
                <w:color w:val="000000"/>
                <w:szCs w:val="20"/>
                <w:vertAlign w:val="superscript"/>
              </w:rPr>
              <w:t>**</w:t>
            </w:r>
          </w:p>
        </w:tc>
        <w:tc>
          <w:tcPr>
            <w:tcW w:w="491" w:type="pct"/>
          </w:tcPr>
          <w:p w14:paraId="4904FAA5"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1.000</w:t>
            </w:r>
          </w:p>
        </w:tc>
        <w:tc>
          <w:tcPr>
            <w:tcW w:w="491" w:type="pct"/>
          </w:tcPr>
          <w:p w14:paraId="5F1072BE"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.358</w:t>
            </w:r>
            <w:r w:rsidRPr="00D71C6A">
              <w:rPr>
                <w:rFonts w:cs="Times New Roman"/>
                <w:color w:val="000000"/>
                <w:szCs w:val="20"/>
                <w:vertAlign w:val="superscript"/>
              </w:rPr>
              <w:t>*</w:t>
            </w:r>
          </w:p>
        </w:tc>
        <w:tc>
          <w:tcPr>
            <w:tcW w:w="473" w:type="pct"/>
          </w:tcPr>
          <w:p w14:paraId="150EC4F5"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-.292</w:t>
            </w:r>
            <w:r w:rsidRPr="00D71C6A">
              <w:rPr>
                <w:rFonts w:cs="Times New Roman"/>
                <w:color w:val="000000"/>
                <w:szCs w:val="20"/>
                <w:vertAlign w:val="superscript"/>
              </w:rPr>
              <w:t>*</w:t>
            </w:r>
          </w:p>
        </w:tc>
        <w:tc>
          <w:tcPr>
            <w:tcW w:w="530" w:type="pct"/>
          </w:tcPr>
          <w:p w14:paraId="72A6ADFD"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.172</w:t>
            </w:r>
          </w:p>
        </w:tc>
      </w:tr>
      <w:tr w:rsidR="007D358F" w:rsidRPr="00D71C6A" w14:paraId="0C525F3B" w14:textId="77777777" w:rsidTr="00286187">
        <w:trPr>
          <w:trHeight w:val="117"/>
        </w:trPr>
        <w:tc>
          <w:tcPr>
            <w:tcW w:w="752" w:type="pct"/>
            <w:vMerge/>
          </w:tcPr>
          <w:p w14:paraId="2D5C69E4"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tcPr>
          <w:p w14:paraId="4D5725EC" w14:textId="77777777" w:rsidR="007D358F" w:rsidRPr="00D71C6A" w:rsidRDefault="007D358F" w:rsidP="00D71C6A">
            <w:pPr>
              <w:autoSpaceDE w:val="0"/>
              <w:autoSpaceDN w:val="0"/>
              <w:adjustRightInd w:val="0"/>
              <w:contextualSpacing/>
              <w:rPr>
                <w:rFonts w:cs="Times New Roman"/>
                <w:color w:val="000000"/>
                <w:szCs w:val="20"/>
              </w:rPr>
            </w:pPr>
          </w:p>
        </w:tc>
        <w:tc>
          <w:tcPr>
            <w:tcW w:w="750" w:type="pct"/>
          </w:tcPr>
          <w:p w14:paraId="23569D43"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Sig. (2-tailed)</w:t>
            </w:r>
          </w:p>
        </w:tc>
        <w:tc>
          <w:tcPr>
            <w:tcW w:w="491" w:type="pct"/>
          </w:tcPr>
          <w:p w14:paraId="4CDBD49A"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c>
          <w:tcPr>
            <w:tcW w:w="491" w:type="pct"/>
          </w:tcPr>
          <w:p w14:paraId="2877F9CE"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c>
          <w:tcPr>
            <w:tcW w:w="491" w:type="pct"/>
          </w:tcPr>
          <w:p w14:paraId="1DB70FDB"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w:t>
            </w:r>
          </w:p>
        </w:tc>
        <w:tc>
          <w:tcPr>
            <w:tcW w:w="491" w:type="pct"/>
          </w:tcPr>
          <w:p w14:paraId="12E80AFF"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.012</w:t>
            </w:r>
          </w:p>
        </w:tc>
        <w:tc>
          <w:tcPr>
            <w:tcW w:w="473" w:type="pct"/>
          </w:tcPr>
          <w:p w14:paraId="6AFA8238"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.044</w:t>
            </w:r>
          </w:p>
        </w:tc>
        <w:tc>
          <w:tcPr>
            <w:tcW w:w="530" w:type="pct"/>
          </w:tcPr>
          <w:p w14:paraId="27629748"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.242</w:t>
            </w:r>
          </w:p>
        </w:tc>
      </w:tr>
      <w:tr w:rsidR="007D358F" w:rsidRPr="00D71C6A" w14:paraId="6D03C951" w14:textId="77777777" w:rsidTr="00286187">
        <w:trPr>
          <w:trHeight w:val="117"/>
        </w:trPr>
        <w:tc>
          <w:tcPr>
            <w:tcW w:w="752" w:type="pct"/>
            <w:vMerge/>
          </w:tcPr>
          <w:p w14:paraId="4F1C0524"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val="restart"/>
          </w:tcPr>
          <w:p w14:paraId="00FE2474"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EPS</w:t>
            </w:r>
          </w:p>
        </w:tc>
        <w:tc>
          <w:tcPr>
            <w:tcW w:w="750" w:type="pct"/>
          </w:tcPr>
          <w:p w14:paraId="30C9189C"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Correlation Coefficient</w:t>
            </w:r>
          </w:p>
        </w:tc>
        <w:tc>
          <w:tcPr>
            <w:tcW w:w="491" w:type="pct"/>
          </w:tcPr>
          <w:p w14:paraId="2DC1E16E"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.369</w:t>
            </w:r>
            <w:r w:rsidRPr="00D71C6A">
              <w:rPr>
                <w:rFonts w:cs="Times New Roman"/>
                <w:color w:val="000000"/>
                <w:szCs w:val="20"/>
                <w:vertAlign w:val="superscript"/>
              </w:rPr>
              <w:t>**</w:t>
            </w:r>
          </w:p>
        </w:tc>
        <w:tc>
          <w:tcPr>
            <w:tcW w:w="491" w:type="pct"/>
          </w:tcPr>
          <w:p w14:paraId="01F20641"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.291</w:t>
            </w:r>
            <w:r w:rsidRPr="00D71C6A">
              <w:rPr>
                <w:rFonts w:cs="Times New Roman"/>
                <w:color w:val="000000"/>
                <w:szCs w:val="20"/>
                <w:vertAlign w:val="superscript"/>
              </w:rPr>
              <w:t>*</w:t>
            </w:r>
          </w:p>
        </w:tc>
        <w:tc>
          <w:tcPr>
            <w:tcW w:w="491" w:type="pct"/>
          </w:tcPr>
          <w:p w14:paraId="3CE699CF"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.358</w:t>
            </w:r>
            <w:r w:rsidRPr="00D71C6A">
              <w:rPr>
                <w:rFonts w:cs="Times New Roman"/>
                <w:color w:val="000000"/>
                <w:szCs w:val="20"/>
                <w:vertAlign w:val="superscript"/>
              </w:rPr>
              <w:t>*</w:t>
            </w:r>
          </w:p>
        </w:tc>
        <w:tc>
          <w:tcPr>
            <w:tcW w:w="491" w:type="pct"/>
          </w:tcPr>
          <w:p w14:paraId="75A76025"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1.000</w:t>
            </w:r>
          </w:p>
        </w:tc>
        <w:tc>
          <w:tcPr>
            <w:tcW w:w="473" w:type="pct"/>
          </w:tcPr>
          <w:p w14:paraId="31205E9C"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-.266</w:t>
            </w:r>
          </w:p>
        </w:tc>
        <w:tc>
          <w:tcPr>
            <w:tcW w:w="530" w:type="pct"/>
          </w:tcPr>
          <w:p w14:paraId="41DA4131"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.630</w:t>
            </w:r>
            <w:r w:rsidRPr="00D71C6A">
              <w:rPr>
                <w:rFonts w:cs="Times New Roman"/>
                <w:color w:val="000000"/>
                <w:szCs w:val="20"/>
                <w:vertAlign w:val="superscript"/>
              </w:rPr>
              <w:t>**</w:t>
            </w:r>
          </w:p>
        </w:tc>
      </w:tr>
      <w:tr w:rsidR="007D358F" w:rsidRPr="00D71C6A" w14:paraId="56D7EE76" w14:textId="77777777" w:rsidTr="00286187">
        <w:trPr>
          <w:trHeight w:val="117"/>
        </w:trPr>
        <w:tc>
          <w:tcPr>
            <w:tcW w:w="752" w:type="pct"/>
            <w:vMerge/>
          </w:tcPr>
          <w:p w14:paraId="454F246F"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tcPr>
          <w:p w14:paraId="0835817B" w14:textId="77777777" w:rsidR="007D358F" w:rsidRPr="00D71C6A" w:rsidRDefault="007D358F" w:rsidP="00D71C6A">
            <w:pPr>
              <w:autoSpaceDE w:val="0"/>
              <w:autoSpaceDN w:val="0"/>
              <w:adjustRightInd w:val="0"/>
              <w:contextualSpacing/>
              <w:rPr>
                <w:rFonts w:cs="Times New Roman"/>
                <w:color w:val="000000"/>
                <w:szCs w:val="20"/>
              </w:rPr>
            </w:pPr>
          </w:p>
        </w:tc>
        <w:tc>
          <w:tcPr>
            <w:tcW w:w="750" w:type="pct"/>
          </w:tcPr>
          <w:p w14:paraId="07B50648"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Sig. (2-tailed)</w:t>
            </w:r>
          </w:p>
        </w:tc>
        <w:tc>
          <w:tcPr>
            <w:tcW w:w="491" w:type="pct"/>
          </w:tcPr>
          <w:p w14:paraId="46BEAD48"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.010</w:t>
            </w:r>
          </w:p>
        </w:tc>
        <w:tc>
          <w:tcPr>
            <w:tcW w:w="491" w:type="pct"/>
          </w:tcPr>
          <w:p w14:paraId="1C0A74AE"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.045</w:t>
            </w:r>
          </w:p>
        </w:tc>
        <w:tc>
          <w:tcPr>
            <w:tcW w:w="491" w:type="pct"/>
          </w:tcPr>
          <w:p w14:paraId="582B02AA"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.012</w:t>
            </w:r>
          </w:p>
        </w:tc>
        <w:tc>
          <w:tcPr>
            <w:tcW w:w="491" w:type="pct"/>
          </w:tcPr>
          <w:p w14:paraId="05120A3B"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w:t>
            </w:r>
          </w:p>
        </w:tc>
        <w:tc>
          <w:tcPr>
            <w:tcW w:w="473" w:type="pct"/>
          </w:tcPr>
          <w:p w14:paraId="201F1E13"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.068</w:t>
            </w:r>
          </w:p>
        </w:tc>
        <w:tc>
          <w:tcPr>
            <w:tcW w:w="530" w:type="pct"/>
          </w:tcPr>
          <w:p w14:paraId="64D191EC"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r>
      <w:tr w:rsidR="007D358F" w:rsidRPr="00D71C6A" w14:paraId="55B7FB75" w14:textId="77777777" w:rsidTr="00286187">
        <w:trPr>
          <w:trHeight w:val="117"/>
        </w:trPr>
        <w:tc>
          <w:tcPr>
            <w:tcW w:w="752" w:type="pct"/>
            <w:vMerge/>
          </w:tcPr>
          <w:p w14:paraId="34E41C01"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val="restart"/>
          </w:tcPr>
          <w:p w14:paraId="2E1324DC"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DER</w:t>
            </w:r>
          </w:p>
        </w:tc>
        <w:tc>
          <w:tcPr>
            <w:tcW w:w="750" w:type="pct"/>
          </w:tcPr>
          <w:p w14:paraId="2F79E53D"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Correlation Coefficient</w:t>
            </w:r>
          </w:p>
        </w:tc>
        <w:tc>
          <w:tcPr>
            <w:tcW w:w="491" w:type="pct"/>
          </w:tcPr>
          <w:p w14:paraId="725C1C6A"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-.158</w:t>
            </w:r>
          </w:p>
        </w:tc>
        <w:tc>
          <w:tcPr>
            <w:tcW w:w="491" w:type="pct"/>
          </w:tcPr>
          <w:p w14:paraId="52BB04BE"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-.016</w:t>
            </w:r>
          </w:p>
        </w:tc>
        <w:tc>
          <w:tcPr>
            <w:tcW w:w="491" w:type="pct"/>
          </w:tcPr>
          <w:p w14:paraId="6BB1DF23"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-.292</w:t>
            </w:r>
            <w:r w:rsidRPr="00D71C6A">
              <w:rPr>
                <w:rFonts w:cs="Times New Roman"/>
                <w:color w:val="000000"/>
                <w:szCs w:val="20"/>
                <w:vertAlign w:val="superscript"/>
              </w:rPr>
              <w:t>*</w:t>
            </w:r>
          </w:p>
        </w:tc>
        <w:tc>
          <w:tcPr>
            <w:tcW w:w="491" w:type="pct"/>
          </w:tcPr>
          <w:p w14:paraId="21CA340F"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-.266</w:t>
            </w:r>
          </w:p>
        </w:tc>
        <w:tc>
          <w:tcPr>
            <w:tcW w:w="473" w:type="pct"/>
          </w:tcPr>
          <w:p w14:paraId="653BDE1E"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1.000</w:t>
            </w:r>
          </w:p>
        </w:tc>
        <w:tc>
          <w:tcPr>
            <w:tcW w:w="530" w:type="pct"/>
          </w:tcPr>
          <w:p w14:paraId="44C5075B"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-.112</w:t>
            </w:r>
          </w:p>
        </w:tc>
      </w:tr>
      <w:tr w:rsidR="007D358F" w:rsidRPr="00D71C6A" w14:paraId="2C486623" w14:textId="77777777" w:rsidTr="00286187">
        <w:trPr>
          <w:trHeight w:val="117"/>
        </w:trPr>
        <w:tc>
          <w:tcPr>
            <w:tcW w:w="752" w:type="pct"/>
            <w:vMerge/>
          </w:tcPr>
          <w:p w14:paraId="0E36A9B3"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tcPr>
          <w:p w14:paraId="6218E49C" w14:textId="77777777" w:rsidR="007D358F" w:rsidRPr="00D71C6A" w:rsidRDefault="007D358F" w:rsidP="00D71C6A">
            <w:pPr>
              <w:autoSpaceDE w:val="0"/>
              <w:autoSpaceDN w:val="0"/>
              <w:adjustRightInd w:val="0"/>
              <w:contextualSpacing/>
              <w:rPr>
                <w:rFonts w:cs="Times New Roman"/>
                <w:color w:val="000000"/>
                <w:szCs w:val="20"/>
              </w:rPr>
            </w:pPr>
          </w:p>
        </w:tc>
        <w:tc>
          <w:tcPr>
            <w:tcW w:w="750" w:type="pct"/>
          </w:tcPr>
          <w:p w14:paraId="7007116E"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Sig. (2-tailed)</w:t>
            </w:r>
          </w:p>
        </w:tc>
        <w:tc>
          <w:tcPr>
            <w:tcW w:w="491" w:type="pct"/>
          </w:tcPr>
          <w:p w14:paraId="5A34A437"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.285</w:t>
            </w:r>
          </w:p>
        </w:tc>
        <w:tc>
          <w:tcPr>
            <w:tcW w:w="491" w:type="pct"/>
          </w:tcPr>
          <w:p w14:paraId="308CCA8B"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.914</w:t>
            </w:r>
          </w:p>
        </w:tc>
        <w:tc>
          <w:tcPr>
            <w:tcW w:w="491" w:type="pct"/>
          </w:tcPr>
          <w:p w14:paraId="2442F3F0"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.044</w:t>
            </w:r>
          </w:p>
        </w:tc>
        <w:tc>
          <w:tcPr>
            <w:tcW w:w="491" w:type="pct"/>
          </w:tcPr>
          <w:p w14:paraId="379515EE"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.068</w:t>
            </w:r>
          </w:p>
        </w:tc>
        <w:tc>
          <w:tcPr>
            <w:tcW w:w="473" w:type="pct"/>
          </w:tcPr>
          <w:p w14:paraId="6D7719D5"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w:t>
            </w:r>
          </w:p>
        </w:tc>
        <w:tc>
          <w:tcPr>
            <w:tcW w:w="530" w:type="pct"/>
          </w:tcPr>
          <w:p w14:paraId="0D27006F"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.450</w:t>
            </w:r>
          </w:p>
        </w:tc>
      </w:tr>
      <w:tr w:rsidR="007D358F" w:rsidRPr="00D71C6A" w14:paraId="45EBE54D" w14:textId="77777777" w:rsidTr="00286187">
        <w:trPr>
          <w:trHeight w:val="117"/>
        </w:trPr>
        <w:tc>
          <w:tcPr>
            <w:tcW w:w="752" w:type="pct"/>
            <w:vMerge/>
          </w:tcPr>
          <w:p w14:paraId="70830EF3"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val="restart"/>
          </w:tcPr>
          <w:p w14:paraId="6EE16FFE"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Harga Saham</w:t>
            </w:r>
          </w:p>
        </w:tc>
        <w:tc>
          <w:tcPr>
            <w:tcW w:w="750" w:type="pct"/>
          </w:tcPr>
          <w:p w14:paraId="59925CE1"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Correlation Coefficient</w:t>
            </w:r>
          </w:p>
        </w:tc>
        <w:tc>
          <w:tcPr>
            <w:tcW w:w="491" w:type="pct"/>
          </w:tcPr>
          <w:p w14:paraId="5F021C72"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.298</w:t>
            </w:r>
            <w:r w:rsidRPr="00D71C6A">
              <w:rPr>
                <w:rFonts w:cs="Times New Roman"/>
                <w:color w:val="000000"/>
                <w:szCs w:val="20"/>
                <w:vertAlign w:val="superscript"/>
              </w:rPr>
              <w:t>*</w:t>
            </w:r>
          </w:p>
        </w:tc>
        <w:tc>
          <w:tcPr>
            <w:tcW w:w="491" w:type="pct"/>
          </w:tcPr>
          <w:p w14:paraId="6F0A3327"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.350</w:t>
            </w:r>
            <w:r w:rsidRPr="00D71C6A">
              <w:rPr>
                <w:rFonts w:cs="Times New Roman"/>
                <w:color w:val="000000"/>
                <w:szCs w:val="20"/>
                <w:vertAlign w:val="superscript"/>
              </w:rPr>
              <w:t>*</w:t>
            </w:r>
          </w:p>
        </w:tc>
        <w:tc>
          <w:tcPr>
            <w:tcW w:w="491" w:type="pct"/>
          </w:tcPr>
          <w:p w14:paraId="75595507"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.172</w:t>
            </w:r>
          </w:p>
        </w:tc>
        <w:tc>
          <w:tcPr>
            <w:tcW w:w="491" w:type="pct"/>
          </w:tcPr>
          <w:p w14:paraId="7F1FE31A"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.630</w:t>
            </w:r>
            <w:r w:rsidRPr="00D71C6A">
              <w:rPr>
                <w:rFonts w:cs="Times New Roman"/>
                <w:color w:val="000000"/>
                <w:szCs w:val="20"/>
                <w:vertAlign w:val="superscript"/>
              </w:rPr>
              <w:t>**</w:t>
            </w:r>
          </w:p>
        </w:tc>
        <w:tc>
          <w:tcPr>
            <w:tcW w:w="473" w:type="pct"/>
          </w:tcPr>
          <w:p w14:paraId="05585C80"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-.112</w:t>
            </w:r>
          </w:p>
        </w:tc>
        <w:tc>
          <w:tcPr>
            <w:tcW w:w="530" w:type="pct"/>
          </w:tcPr>
          <w:p w14:paraId="29E15E50"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1.000</w:t>
            </w:r>
          </w:p>
        </w:tc>
      </w:tr>
      <w:tr w:rsidR="007D358F" w:rsidRPr="00D71C6A" w14:paraId="148B9CE2" w14:textId="77777777" w:rsidTr="00286187">
        <w:trPr>
          <w:trHeight w:val="117"/>
        </w:trPr>
        <w:tc>
          <w:tcPr>
            <w:tcW w:w="752" w:type="pct"/>
            <w:vMerge/>
          </w:tcPr>
          <w:p w14:paraId="05C88455"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tcPr>
          <w:p w14:paraId="78895DAF" w14:textId="77777777" w:rsidR="007D358F" w:rsidRPr="00D71C6A" w:rsidRDefault="007D358F" w:rsidP="00D71C6A">
            <w:pPr>
              <w:autoSpaceDE w:val="0"/>
              <w:autoSpaceDN w:val="0"/>
              <w:adjustRightInd w:val="0"/>
              <w:contextualSpacing/>
              <w:rPr>
                <w:rFonts w:cs="Times New Roman"/>
                <w:color w:val="000000"/>
                <w:szCs w:val="20"/>
              </w:rPr>
            </w:pPr>
          </w:p>
        </w:tc>
        <w:tc>
          <w:tcPr>
            <w:tcW w:w="750" w:type="pct"/>
          </w:tcPr>
          <w:p w14:paraId="48DBF43D" w14:textId="77777777" w:rsidR="007D358F" w:rsidRPr="00D71C6A" w:rsidRDefault="007D358F"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Sig. (2-tailed)</w:t>
            </w:r>
          </w:p>
        </w:tc>
        <w:tc>
          <w:tcPr>
            <w:tcW w:w="491" w:type="pct"/>
          </w:tcPr>
          <w:p w14:paraId="3935B721"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.040</w:t>
            </w:r>
          </w:p>
        </w:tc>
        <w:tc>
          <w:tcPr>
            <w:tcW w:w="491" w:type="pct"/>
          </w:tcPr>
          <w:p w14:paraId="5CBF4733"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.015</w:t>
            </w:r>
          </w:p>
        </w:tc>
        <w:tc>
          <w:tcPr>
            <w:tcW w:w="491" w:type="pct"/>
          </w:tcPr>
          <w:p w14:paraId="311B640B"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.242</w:t>
            </w:r>
          </w:p>
        </w:tc>
        <w:tc>
          <w:tcPr>
            <w:tcW w:w="491" w:type="pct"/>
          </w:tcPr>
          <w:p w14:paraId="02D9BEC9"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c>
          <w:tcPr>
            <w:tcW w:w="473" w:type="pct"/>
          </w:tcPr>
          <w:p w14:paraId="7678CEC0"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.450</w:t>
            </w:r>
          </w:p>
        </w:tc>
        <w:tc>
          <w:tcPr>
            <w:tcW w:w="530" w:type="pct"/>
          </w:tcPr>
          <w:p w14:paraId="13A0A2A0"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w:t>
            </w:r>
          </w:p>
        </w:tc>
      </w:tr>
      <w:tr w:rsidR="007D358F" w:rsidRPr="00D71C6A" w14:paraId="554824F2" w14:textId="77777777" w:rsidTr="00286187">
        <w:trPr>
          <w:trHeight w:val="117"/>
        </w:trPr>
        <w:tc>
          <w:tcPr>
            <w:tcW w:w="752" w:type="pct"/>
            <w:vMerge/>
          </w:tcPr>
          <w:p w14:paraId="4B0E4BE3" w14:textId="77777777" w:rsidR="007D358F" w:rsidRPr="00D71C6A" w:rsidRDefault="007D358F" w:rsidP="00D71C6A">
            <w:pPr>
              <w:autoSpaceDE w:val="0"/>
              <w:autoSpaceDN w:val="0"/>
              <w:adjustRightInd w:val="0"/>
              <w:contextualSpacing/>
              <w:rPr>
                <w:rFonts w:cs="Times New Roman"/>
                <w:color w:val="000000"/>
                <w:szCs w:val="20"/>
              </w:rPr>
            </w:pPr>
          </w:p>
        </w:tc>
        <w:tc>
          <w:tcPr>
            <w:tcW w:w="530" w:type="pct"/>
            <w:vMerge/>
          </w:tcPr>
          <w:p w14:paraId="7E822FBC" w14:textId="77777777" w:rsidR="007D358F" w:rsidRPr="00D71C6A" w:rsidRDefault="007D358F" w:rsidP="00D71C6A">
            <w:pPr>
              <w:autoSpaceDE w:val="0"/>
              <w:autoSpaceDN w:val="0"/>
              <w:adjustRightInd w:val="0"/>
              <w:contextualSpacing/>
              <w:rPr>
                <w:rFonts w:cs="Times New Roman"/>
                <w:color w:val="000000"/>
                <w:szCs w:val="20"/>
              </w:rPr>
            </w:pPr>
          </w:p>
        </w:tc>
        <w:tc>
          <w:tcPr>
            <w:tcW w:w="750" w:type="pct"/>
          </w:tcPr>
          <w:p w14:paraId="636E2B31" w14:textId="77777777" w:rsidR="007D358F" w:rsidRPr="00D71C6A" w:rsidRDefault="007D358F" w:rsidP="00D71C6A">
            <w:pPr>
              <w:autoSpaceDE w:val="0"/>
              <w:autoSpaceDN w:val="0"/>
              <w:adjustRightInd w:val="0"/>
              <w:ind w:left="60" w:right="60"/>
              <w:contextualSpacing/>
              <w:rPr>
                <w:rFonts w:cs="Times New Roman"/>
                <w:color w:val="000000"/>
                <w:szCs w:val="20"/>
              </w:rPr>
            </w:pPr>
          </w:p>
        </w:tc>
        <w:tc>
          <w:tcPr>
            <w:tcW w:w="491" w:type="pct"/>
          </w:tcPr>
          <w:p w14:paraId="147BE639"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p>
        </w:tc>
        <w:tc>
          <w:tcPr>
            <w:tcW w:w="491" w:type="pct"/>
          </w:tcPr>
          <w:p w14:paraId="703BD000"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p>
        </w:tc>
        <w:tc>
          <w:tcPr>
            <w:tcW w:w="491" w:type="pct"/>
          </w:tcPr>
          <w:p w14:paraId="41A79227"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p>
        </w:tc>
        <w:tc>
          <w:tcPr>
            <w:tcW w:w="491" w:type="pct"/>
          </w:tcPr>
          <w:p w14:paraId="549EA946"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p>
        </w:tc>
        <w:tc>
          <w:tcPr>
            <w:tcW w:w="473" w:type="pct"/>
          </w:tcPr>
          <w:p w14:paraId="65D0CABA"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p>
        </w:tc>
        <w:tc>
          <w:tcPr>
            <w:tcW w:w="530" w:type="pct"/>
          </w:tcPr>
          <w:p w14:paraId="15FE3BC8" w14:textId="77777777" w:rsidR="007D358F" w:rsidRPr="00D71C6A" w:rsidRDefault="007D358F" w:rsidP="00D71C6A">
            <w:pPr>
              <w:autoSpaceDE w:val="0"/>
              <w:autoSpaceDN w:val="0"/>
              <w:adjustRightInd w:val="0"/>
              <w:ind w:left="60" w:right="60"/>
              <w:contextualSpacing/>
              <w:jc w:val="right"/>
              <w:rPr>
                <w:rFonts w:cs="Times New Roman"/>
                <w:color w:val="000000"/>
                <w:szCs w:val="20"/>
              </w:rPr>
            </w:pPr>
          </w:p>
        </w:tc>
      </w:tr>
      <w:tr w:rsidR="007D358F" w:rsidRPr="00D71C6A" w14:paraId="7ADB5DD3" w14:textId="77777777" w:rsidTr="00286187">
        <w:trPr>
          <w:trHeight w:val="503"/>
        </w:trPr>
        <w:tc>
          <w:tcPr>
            <w:tcW w:w="5000" w:type="pct"/>
            <w:gridSpan w:val="9"/>
          </w:tcPr>
          <w:p w14:paraId="4BBE4815" w14:textId="77777777" w:rsidR="007D358F" w:rsidRPr="00D71C6A" w:rsidRDefault="007D358F" w:rsidP="00D71C6A">
            <w:pPr>
              <w:autoSpaceDE w:val="0"/>
              <w:autoSpaceDN w:val="0"/>
              <w:adjustRightInd w:val="0"/>
              <w:ind w:right="60"/>
              <w:contextualSpacing/>
              <w:rPr>
                <w:rFonts w:cs="Times New Roman"/>
                <w:color w:val="000000"/>
                <w:szCs w:val="20"/>
              </w:rPr>
            </w:pPr>
            <w:r w:rsidRPr="00D71C6A">
              <w:rPr>
                <w:rFonts w:cs="Times New Roman"/>
                <w:color w:val="000000"/>
                <w:szCs w:val="20"/>
              </w:rPr>
              <w:t>**.Signifikan pada level 0,05 (2-tailed)</w:t>
            </w:r>
            <w:r w:rsidRPr="00D71C6A">
              <w:rPr>
                <w:rFonts w:cs="Times New Roman"/>
                <w:color w:val="000000"/>
                <w:szCs w:val="20"/>
              </w:rPr>
              <w:br/>
              <w:t>*.Signifikan pada level 0,01 (2-tailed)</w:t>
            </w:r>
          </w:p>
          <w:p w14:paraId="5DE0243F" w14:textId="77777777" w:rsidR="007D358F" w:rsidRPr="00D71C6A" w:rsidRDefault="007D358F" w:rsidP="00D71C6A">
            <w:pPr>
              <w:autoSpaceDE w:val="0"/>
              <w:autoSpaceDN w:val="0"/>
              <w:adjustRightInd w:val="0"/>
              <w:ind w:right="60"/>
              <w:contextualSpacing/>
              <w:rPr>
                <w:rFonts w:cs="Times New Roman"/>
                <w:color w:val="000000"/>
                <w:szCs w:val="20"/>
              </w:rPr>
            </w:pPr>
          </w:p>
        </w:tc>
      </w:tr>
      <w:tr w:rsidR="007D358F" w:rsidRPr="00D71C6A" w14:paraId="4237628B" w14:textId="77777777" w:rsidTr="00286187">
        <w:trPr>
          <w:trHeight w:val="392"/>
        </w:trPr>
        <w:tc>
          <w:tcPr>
            <w:tcW w:w="5000" w:type="pct"/>
            <w:gridSpan w:val="9"/>
          </w:tcPr>
          <w:p w14:paraId="4CAB58CB" w14:textId="542597E7" w:rsidR="007D358F" w:rsidRPr="00D71C6A" w:rsidRDefault="007D358F" w:rsidP="00D71C6A">
            <w:pPr>
              <w:autoSpaceDE w:val="0"/>
              <w:autoSpaceDN w:val="0"/>
              <w:adjustRightInd w:val="0"/>
              <w:contextualSpacing/>
              <w:rPr>
                <w:rFonts w:cs="Times New Roman"/>
                <w:szCs w:val="20"/>
              </w:rPr>
            </w:pPr>
            <w:r w:rsidRPr="00D71C6A">
              <w:rPr>
                <w:rFonts w:cs="Times New Roman"/>
                <w:szCs w:val="20"/>
              </w:rPr>
              <w:t>S</w:t>
            </w:r>
            <w:r w:rsidR="003A4F73" w:rsidRPr="00D71C6A">
              <w:rPr>
                <w:rFonts w:cs="Times New Roman"/>
                <w:szCs w:val="20"/>
              </w:rPr>
              <w:t>ource: SPSS data processing results,2025</w:t>
            </w:r>
          </w:p>
          <w:p w14:paraId="647A485F" w14:textId="77777777" w:rsidR="007D358F" w:rsidRPr="00D71C6A" w:rsidRDefault="007D358F" w:rsidP="00D71C6A">
            <w:pPr>
              <w:autoSpaceDE w:val="0"/>
              <w:autoSpaceDN w:val="0"/>
              <w:adjustRightInd w:val="0"/>
              <w:ind w:right="60"/>
              <w:contextualSpacing/>
              <w:rPr>
                <w:rFonts w:cs="Times New Roman"/>
                <w:color w:val="000000"/>
                <w:szCs w:val="20"/>
              </w:rPr>
            </w:pPr>
          </w:p>
        </w:tc>
      </w:tr>
    </w:tbl>
    <w:p w14:paraId="58B8CF4D" w14:textId="77777777" w:rsidR="00286187" w:rsidRDefault="00286187" w:rsidP="00286187"/>
    <w:p w14:paraId="65831750" w14:textId="77777777" w:rsidR="00286187" w:rsidRDefault="00286187" w:rsidP="00286187">
      <w:r>
        <w:tab/>
      </w:r>
      <w:r w:rsidR="00393090" w:rsidRPr="00D71C6A">
        <w:t xml:space="preserve">Partial indication of heteroscedasticity was found in ROA, ROE, and NPM. However, the model can still be used. </w:t>
      </w:r>
      <w:r w:rsidR="00A666D1" w:rsidRPr="00D71C6A">
        <w:fldChar w:fldCharType="begin" w:fldLock="1"/>
      </w:r>
      <w:r w:rsidR="001A6D0C" w:rsidRPr="00D71C6A">
        <w:instrText>ADDIN CSL_CITATION {"citationItems":[{"id":"ITEM-1","itemData":{"author":[{"dropping-particle":"","family":"Ghozali","given":"","non-dropping-particle":"","parse-names":false,"suffix":""}],"id":"ITEM-1","issued":{"date-parts":[["2021"]]},"title":"Aplikasi Analisis Multivariate Dengan Program IBM SPSS 26.","type":"book"},"uris":["http://www.mendeley.com/documents/?uuid=e2a5622e-1ef0-4619-9f45-4e65f7cb1ed5"]}],"mendeley":{"formattedCitation":"(Ghozali, 2021)","plainTextFormattedCitation":"(Ghozali, 2021)","previouslyFormattedCitation":"(Ghozali, 2021)"},"properties":{"noteIndex":0},"schema":"https://github.com/citation-style-language/schema/raw/master/csl-citation.json"}</w:instrText>
      </w:r>
      <w:r w:rsidR="00A666D1" w:rsidRPr="00D71C6A">
        <w:fldChar w:fldCharType="separate"/>
      </w:r>
      <w:r w:rsidR="00A666D1" w:rsidRPr="00D71C6A">
        <w:t>(Ghozali, 2021)</w:t>
      </w:r>
      <w:r w:rsidR="00A666D1" w:rsidRPr="00D71C6A">
        <w:fldChar w:fldCharType="end"/>
      </w:r>
      <w:r w:rsidR="00A666D1" w:rsidRPr="00D71C6A">
        <w:t>.</w:t>
      </w:r>
    </w:p>
    <w:p w14:paraId="4C424A27" w14:textId="77777777" w:rsidR="00286187" w:rsidRDefault="00286187" w:rsidP="00286187"/>
    <w:p w14:paraId="6D8C9BE9" w14:textId="71224F1F" w:rsidR="00774B14" w:rsidRPr="00286187" w:rsidRDefault="0034124D" w:rsidP="00286187">
      <w:pPr>
        <w:rPr>
          <w:b/>
          <w:bCs/>
        </w:rPr>
      </w:pPr>
      <w:r w:rsidRPr="00286187">
        <w:rPr>
          <w:b/>
          <w:bCs/>
        </w:rPr>
        <w:t>Hypothesis Testing</w:t>
      </w:r>
    </w:p>
    <w:p w14:paraId="30A297FF" w14:textId="7AA13A67" w:rsidR="007D358F" w:rsidRPr="00286187" w:rsidRDefault="007D358F" w:rsidP="00286187">
      <w:pPr>
        <w:rPr>
          <w:b/>
          <w:bCs/>
        </w:rPr>
      </w:pPr>
      <w:r w:rsidRPr="00286187">
        <w:rPr>
          <w:b/>
          <w:bCs/>
        </w:rPr>
        <w:t>F</w:t>
      </w:r>
      <w:r w:rsidR="0034124D" w:rsidRPr="00286187">
        <w:rPr>
          <w:b/>
          <w:bCs/>
        </w:rPr>
        <w:t>-Test</w:t>
      </w:r>
    </w:p>
    <w:p w14:paraId="1E5E74ED" w14:textId="54F7B35E" w:rsidR="003D3377" w:rsidRPr="00D71C6A" w:rsidRDefault="00286187" w:rsidP="00286187">
      <w:r>
        <w:lastRenderedPageBreak/>
        <w:tab/>
      </w:r>
      <w:r w:rsidR="0034124D" w:rsidRPr="00D71C6A">
        <w:t>The F-test is used to determine whether all independent variables in the model simultaneously and significantly influence the dependent variable. In other words, this test examines the overall fitness (or feasibility) of the regression model.</w:t>
      </w:r>
      <w:r w:rsidR="00F84048" w:rsidRPr="00D71C6A">
        <w:t>.</w:t>
      </w:r>
    </w:p>
    <w:p w14:paraId="15CA7D14" w14:textId="77777777" w:rsidR="00286187" w:rsidRDefault="00286187" w:rsidP="00286187">
      <w:pPr>
        <w:jc w:val="center"/>
      </w:pPr>
    </w:p>
    <w:p w14:paraId="2EE6866C" w14:textId="3DA8F4F7" w:rsidR="0034124D" w:rsidRPr="00D71C6A" w:rsidRDefault="0034124D" w:rsidP="00286187">
      <w:pPr>
        <w:jc w:val="center"/>
      </w:pPr>
      <w:r w:rsidRPr="00D71C6A">
        <w:t>Table 7. F-Test</w:t>
      </w:r>
    </w:p>
    <w:tbl>
      <w:tblPr>
        <w:tblStyle w:val="Style1"/>
        <w:tblW w:w="5000" w:type="pct"/>
        <w:tblLook w:val="0000" w:firstRow="0" w:lastRow="0" w:firstColumn="0" w:lastColumn="0" w:noHBand="0" w:noVBand="0"/>
      </w:tblPr>
      <w:tblGrid>
        <w:gridCol w:w="796"/>
        <w:gridCol w:w="1177"/>
        <w:gridCol w:w="1660"/>
        <w:gridCol w:w="898"/>
        <w:gridCol w:w="1426"/>
        <w:gridCol w:w="869"/>
        <w:gridCol w:w="1111"/>
      </w:tblGrid>
      <w:tr w:rsidR="007D358F" w:rsidRPr="00D71C6A" w14:paraId="77185036" w14:textId="77777777" w:rsidTr="00286187">
        <w:trPr>
          <w:trHeight w:val="297"/>
        </w:trPr>
        <w:tc>
          <w:tcPr>
            <w:tcW w:w="5000" w:type="pct"/>
            <w:gridSpan w:val="7"/>
          </w:tcPr>
          <w:p w14:paraId="29568425" w14:textId="77777777" w:rsidR="007D358F" w:rsidRPr="00D71C6A" w:rsidRDefault="007D358F" w:rsidP="00D71C6A">
            <w:pPr>
              <w:autoSpaceDE w:val="0"/>
              <w:autoSpaceDN w:val="0"/>
              <w:adjustRightInd w:val="0"/>
              <w:ind w:left="420" w:right="60"/>
              <w:contextualSpacing/>
              <w:jc w:val="center"/>
              <w:rPr>
                <w:rFonts w:cs="Times New Roman"/>
                <w:color w:val="000000"/>
                <w:szCs w:val="20"/>
              </w:rPr>
            </w:pPr>
            <w:r w:rsidRPr="00D71C6A">
              <w:rPr>
                <w:rFonts w:cs="Times New Roman"/>
                <w:b/>
                <w:bCs/>
                <w:color w:val="000000"/>
                <w:szCs w:val="20"/>
              </w:rPr>
              <w:t>ANOVA</w:t>
            </w:r>
            <w:r w:rsidRPr="00D71C6A">
              <w:rPr>
                <w:rFonts w:cs="Times New Roman"/>
                <w:b/>
                <w:bCs/>
                <w:color w:val="000000"/>
                <w:szCs w:val="20"/>
                <w:vertAlign w:val="superscript"/>
              </w:rPr>
              <w:t>a</w:t>
            </w:r>
          </w:p>
        </w:tc>
      </w:tr>
      <w:tr w:rsidR="0034124D" w:rsidRPr="00D71C6A" w14:paraId="231B2548" w14:textId="77777777" w:rsidTr="00286187">
        <w:trPr>
          <w:trHeight w:val="577"/>
        </w:trPr>
        <w:tc>
          <w:tcPr>
            <w:tcW w:w="1210" w:type="pct"/>
            <w:gridSpan w:val="2"/>
          </w:tcPr>
          <w:p w14:paraId="7ACA2079"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Model</w:t>
            </w:r>
          </w:p>
        </w:tc>
        <w:tc>
          <w:tcPr>
            <w:tcW w:w="1110" w:type="pct"/>
          </w:tcPr>
          <w:p w14:paraId="374CC1B6" w14:textId="77777777" w:rsidR="007D358F" w:rsidRPr="00D71C6A" w:rsidRDefault="007D358F" w:rsidP="00D71C6A">
            <w:pPr>
              <w:autoSpaceDE w:val="0"/>
              <w:autoSpaceDN w:val="0"/>
              <w:adjustRightInd w:val="0"/>
              <w:ind w:right="60"/>
              <w:contextualSpacing/>
              <w:rPr>
                <w:rFonts w:cs="Times New Roman"/>
                <w:color w:val="000000"/>
                <w:szCs w:val="20"/>
              </w:rPr>
            </w:pPr>
            <w:r w:rsidRPr="00D71C6A">
              <w:rPr>
                <w:rFonts w:cs="Times New Roman"/>
                <w:color w:val="000000"/>
                <w:szCs w:val="20"/>
              </w:rPr>
              <w:t>Sum of Squares</w:t>
            </w:r>
          </w:p>
        </w:tc>
        <w:tc>
          <w:tcPr>
            <w:tcW w:w="630" w:type="pct"/>
          </w:tcPr>
          <w:p w14:paraId="16B0316C"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df</w:t>
            </w:r>
          </w:p>
        </w:tc>
        <w:tc>
          <w:tcPr>
            <w:tcW w:w="889" w:type="pct"/>
          </w:tcPr>
          <w:p w14:paraId="0064A899" w14:textId="77777777" w:rsidR="007D358F" w:rsidRPr="00D71C6A" w:rsidRDefault="007D358F" w:rsidP="00D71C6A">
            <w:pPr>
              <w:autoSpaceDE w:val="0"/>
              <w:autoSpaceDN w:val="0"/>
              <w:adjustRightInd w:val="0"/>
              <w:ind w:right="60"/>
              <w:contextualSpacing/>
              <w:rPr>
                <w:rFonts w:cs="Times New Roman"/>
                <w:color w:val="000000"/>
                <w:szCs w:val="20"/>
              </w:rPr>
            </w:pPr>
            <w:r w:rsidRPr="00D71C6A">
              <w:rPr>
                <w:rFonts w:cs="Times New Roman"/>
                <w:color w:val="000000"/>
                <w:szCs w:val="20"/>
              </w:rPr>
              <w:t>Mean Square</w:t>
            </w:r>
          </w:p>
        </w:tc>
        <w:tc>
          <w:tcPr>
            <w:tcW w:w="611" w:type="pct"/>
          </w:tcPr>
          <w:p w14:paraId="30A49714"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F</w:t>
            </w:r>
          </w:p>
        </w:tc>
        <w:tc>
          <w:tcPr>
            <w:tcW w:w="550" w:type="pct"/>
          </w:tcPr>
          <w:p w14:paraId="35449529"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Sig.</w:t>
            </w:r>
          </w:p>
        </w:tc>
      </w:tr>
      <w:tr w:rsidR="0034124D" w:rsidRPr="00D71C6A" w14:paraId="3C16C6B3" w14:textId="77777777" w:rsidTr="00286187">
        <w:trPr>
          <w:trHeight w:val="652"/>
        </w:trPr>
        <w:tc>
          <w:tcPr>
            <w:tcW w:w="404" w:type="pct"/>
            <w:vMerge w:val="restart"/>
          </w:tcPr>
          <w:p w14:paraId="6371F766"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1</w:t>
            </w:r>
          </w:p>
        </w:tc>
        <w:tc>
          <w:tcPr>
            <w:tcW w:w="806" w:type="pct"/>
          </w:tcPr>
          <w:p w14:paraId="262CDF65" w14:textId="77777777" w:rsidR="007D358F" w:rsidRPr="00D71C6A" w:rsidRDefault="007D358F" w:rsidP="00D71C6A">
            <w:pPr>
              <w:autoSpaceDE w:val="0"/>
              <w:autoSpaceDN w:val="0"/>
              <w:adjustRightInd w:val="0"/>
              <w:ind w:right="62"/>
              <w:contextualSpacing/>
              <w:rPr>
                <w:rFonts w:cs="Times New Roman"/>
                <w:color w:val="000000"/>
                <w:szCs w:val="20"/>
              </w:rPr>
            </w:pPr>
            <w:r w:rsidRPr="00D71C6A">
              <w:rPr>
                <w:rFonts w:cs="Times New Roman"/>
                <w:color w:val="000000"/>
                <w:szCs w:val="20"/>
              </w:rPr>
              <w:t>Regression</w:t>
            </w:r>
          </w:p>
        </w:tc>
        <w:tc>
          <w:tcPr>
            <w:tcW w:w="1110" w:type="pct"/>
          </w:tcPr>
          <w:p w14:paraId="2282E947" w14:textId="77777777" w:rsidR="007D358F" w:rsidRPr="00D71C6A" w:rsidRDefault="007D358F" w:rsidP="00D71C6A">
            <w:pPr>
              <w:autoSpaceDE w:val="0"/>
              <w:autoSpaceDN w:val="0"/>
              <w:adjustRightInd w:val="0"/>
              <w:ind w:right="60"/>
              <w:contextualSpacing/>
              <w:rPr>
                <w:rFonts w:cs="Times New Roman"/>
                <w:color w:val="000000"/>
                <w:szCs w:val="20"/>
              </w:rPr>
            </w:pPr>
            <w:r w:rsidRPr="00D71C6A">
              <w:rPr>
                <w:rFonts w:cs="Times New Roman"/>
                <w:color w:val="000000"/>
                <w:szCs w:val="20"/>
              </w:rPr>
              <w:t>143231847.003</w:t>
            </w:r>
          </w:p>
        </w:tc>
        <w:tc>
          <w:tcPr>
            <w:tcW w:w="630" w:type="pct"/>
          </w:tcPr>
          <w:p w14:paraId="133C1C7E"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5</w:t>
            </w:r>
          </w:p>
        </w:tc>
        <w:tc>
          <w:tcPr>
            <w:tcW w:w="889" w:type="pct"/>
          </w:tcPr>
          <w:p w14:paraId="041DBD22" w14:textId="77777777" w:rsidR="007D358F" w:rsidRPr="00D71C6A" w:rsidRDefault="007D358F" w:rsidP="00D71C6A">
            <w:pPr>
              <w:autoSpaceDE w:val="0"/>
              <w:autoSpaceDN w:val="0"/>
              <w:adjustRightInd w:val="0"/>
              <w:ind w:right="60"/>
              <w:contextualSpacing/>
              <w:rPr>
                <w:rFonts w:cs="Times New Roman"/>
                <w:color w:val="000000"/>
                <w:szCs w:val="20"/>
              </w:rPr>
            </w:pPr>
            <w:r w:rsidRPr="00D71C6A">
              <w:rPr>
                <w:rFonts w:cs="Times New Roman"/>
                <w:color w:val="000000"/>
                <w:szCs w:val="20"/>
              </w:rPr>
              <w:t>28646369.401</w:t>
            </w:r>
          </w:p>
        </w:tc>
        <w:tc>
          <w:tcPr>
            <w:tcW w:w="611" w:type="pct"/>
          </w:tcPr>
          <w:p w14:paraId="03ED6D0A" w14:textId="77777777" w:rsidR="007D358F" w:rsidRPr="00D71C6A" w:rsidRDefault="007D358F" w:rsidP="00D71C6A">
            <w:pPr>
              <w:autoSpaceDE w:val="0"/>
              <w:autoSpaceDN w:val="0"/>
              <w:adjustRightInd w:val="0"/>
              <w:ind w:right="60"/>
              <w:contextualSpacing/>
              <w:rPr>
                <w:rFonts w:cs="Times New Roman"/>
                <w:color w:val="000000"/>
                <w:szCs w:val="20"/>
              </w:rPr>
            </w:pPr>
            <w:r w:rsidRPr="00D71C6A">
              <w:rPr>
                <w:rFonts w:cs="Times New Roman"/>
                <w:color w:val="000000"/>
                <w:szCs w:val="20"/>
              </w:rPr>
              <w:t>13.122</w:t>
            </w:r>
          </w:p>
        </w:tc>
        <w:tc>
          <w:tcPr>
            <w:tcW w:w="550" w:type="pct"/>
          </w:tcPr>
          <w:p w14:paraId="467CC823"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.000</w:t>
            </w:r>
            <w:r w:rsidRPr="00D71C6A">
              <w:rPr>
                <w:rFonts w:cs="Times New Roman"/>
                <w:color w:val="000000"/>
                <w:szCs w:val="20"/>
                <w:vertAlign w:val="superscript"/>
              </w:rPr>
              <w:t>b</w:t>
            </w:r>
          </w:p>
        </w:tc>
      </w:tr>
      <w:tr w:rsidR="0034124D" w:rsidRPr="00D71C6A" w14:paraId="5BF14926" w14:textId="77777777" w:rsidTr="00286187">
        <w:trPr>
          <w:trHeight w:val="262"/>
        </w:trPr>
        <w:tc>
          <w:tcPr>
            <w:tcW w:w="404" w:type="pct"/>
            <w:vMerge/>
          </w:tcPr>
          <w:p w14:paraId="50D18EA7" w14:textId="77777777" w:rsidR="007D358F" w:rsidRPr="00D71C6A" w:rsidRDefault="007D358F" w:rsidP="00D71C6A">
            <w:pPr>
              <w:autoSpaceDE w:val="0"/>
              <w:autoSpaceDN w:val="0"/>
              <w:adjustRightInd w:val="0"/>
              <w:ind w:left="420"/>
              <w:contextualSpacing/>
              <w:rPr>
                <w:rFonts w:cs="Times New Roman"/>
                <w:color w:val="000000"/>
                <w:szCs w:val="20"/>
              </w:rPr>
            </w:pPr>
          </w:p>
        </w:tc>
        <w:tc>
          <w:tcPr>
            <w:tcW w:w="806" w:type="pct"/>
          </w:tcPr>
          <w:p w14:paraId="125A7D67" w14:textId="77777777" w:rsidR="007D358F" w:rsidRPr="00D71C6A" w:rsidRDefault="007D358F" w:rsidP="00D71C6A">
            <w:pPr>
              <w:autoSpaceDE w:val="0"/>
              <w:autoSpaceDN w:val="0"/>
              <w:adjustRightInd w:val="0"/>
              <w:ind w:right="62"/>
              <w:contextualSpacing/>
              <w:rPr>
                <w:rFonts w:cs="Times New Roman"/>
                <w:color w:val="000000"/>
                <w:szCs w:val="20"/>
              </w:rPr>
            </w:pPr>
            <w:r w:rsidRPr="00D71C6A">
              <w:rPr>
                <w:rFonts w:cs="Times New Roman"/>
                <w:color w:val="000000"/>
                <w:szCs w:val="20"/>
              </w:rPr>
              <w:t>Residual</w:t>
            </w:r>
          </w:p>
        </w:tc>
        <w:tc>
          <w:tcPr>
            <w:tcW w:w="1110" w:type="pct"/>
          </w:tcPr>
          <w:p w14:paraId="34899F00" w14:textId="77777777" w:rsidR="007D358F" w:rsidRPr="00D71C6A" w:rsidRDefault="007D358F" w:rsidP="00D71C6A">
            <w:pPr>
              <w:autoSpaceDE w:val="0"/>
              <w:autoSpaceDN w:val="0"/>
              <w:adjustRightInd w:val="0"/>
              <w:ind w:right="60"/>
              <w:contextualSpacing/>
              <w:rPr>
                <w:rFonts w:cs="Times New Roman"/>
                <w:color w:val="000000"/>
                <w:szCs w:val="20"/>
              </w:rPr>
            </w:pPr>
            <w:r w:rsidRPr="00D71C6A">
              <w:rPr>
                <w:rFonts w:cs="Times New Roman"/>
                <w:color w:val="000000"/>
                <w:szCs w:val="20"/>
              </w:rPr>
              <w:t>91685960.976</w:t>
            </w:r>
          </w:p>
        </w:tc>
        <w:tc>
          <w:tcPr>
            <w:tcW w:w="630" w:type="pct"/>
          </w:tcPr>
          <w:p w14:paraId="1EA5A0E3"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42</w:t>
            </w:r>
          </w:p>
        </w:tc>
        <w:tc>
          <w:tcPr>
            <w:tcW w:w="889" w:type="pct"/>
          </w:tcPr>
          <w:p w14:paraId="5319EECB" w14:textId="77777777" w:rsidR="007D358F" w:rsidRPr="00D71C6A" w:rsidRDefault="007D358F" w:rsidP="00D71C6A">
            <w:pPr>
              <w:autoSpaceDE w:val="0"/>
              <w:autoSpaceDN w:val="0"/>
              <w:adjustRightInd w:val="0"/>
              <w:ind w:right="60"/>
              <w:contextualSpacing/>
              <w:rPr>
                <w:rFonts w:cs="Times New Roman"/>
                <w:color w:val="000000"/>
                <w:szCs w:val="20"/>
              </w:rPr>
            </w:pPr>
            <w:r w:rsidRPr="00D71C6A">
              <w:rPr>
                <w:rFonts w:cs="Times New Roman"/>
                <w:color w:val="000000"/>
                <w:szCs w:val="20"/>
              </w:rPr>
              <w:t>2182999.071</w:t>
            </w:r>
          </w:p>
        </w:tc>
        <w:tc>
          <w:tcPr>
            <w:tcW w:w="611" w:type="pct"/>
          </w:tcPr>
          <w:p w14:paraId="24EAC2C8" w14:textId="77777777" w:rsidR="007D358F" w:rsidRPr="00D71C6A" w:rsidRDefault="007D358F" w:rsidP="00D71C6A">
            <w:pPr>
              <w:autoSpaceDE w:val="0"/>
              <w:autoSpaceDN w:val="0"/>
              <w:adjustRightInd w:val="0"/>
              <w:ind w:left="420"/>
              <w:contextualSpacing/>
              <w:rPr>
                <w:rFonts w:cs="Times New Roman"/>
                <w:szCs w:val="20"/>
              </w:rPr>
            </w:pPr>
          </w:p>
        </w:tc>
        <w:tc>
          <w:tcPr>
            <w:tcW w:w="550" w:type="pct"/>
          </w:tcPr>
          <w:p w14:paraId="5D3F2EBF" w14:textId="77777777" w:rsidR="007D358F" w:rsidRPr="00D71C6A" w:rsidRDefault="007D358F" w:rsidP="00D71C6A">
            <w:pPr>
              <w:autoSpaceDE w:val="0"/>
              <w:autoSpaceDN w:val="0"/>
              <w:adjustRightInd w:val="0"/>
              <w:ind w:left="420"/>
              <w:contextualSpacing/>
              <w:rPr>
                <w:rFonts w:cs="Times New Roman"/>
                <w:szCs w:val="20"/>
              </w:rPr>
            </w:pPr>
          </w:p>
        </w:tc>
      </w:tr>
      <w:tr w:rsidR="0034124D" w:rsidRPr="00D71C6A" w14:paraId="2C8CACB0" w14:textId="77777777" w:rsidTr="00286187">
        <w:trPr>
          <w:trHeight w:val="262"/>
        </w:trPr>
        <w:tc>
          <w:tcPr>
            <w:tcW w:w="404" w:type="pct"/>
            <w:vMerge/>
          </w:tcPr>
          <w:p w14:paraId="529028FF" w14:textId="77777777" w:rsidR="007D358F" w:rsidRPr="00D71C6A" w:rsidRDefault="007D358F" w:rsidP="00D71C6A">
            <w:pPr>
              <w:autoSpaceDE w:val="0"/>
              <w:autoSpaceDN w:val="0"/>
              <w:adjustRightInd w:val="0"/>
              <w:ind w:left="420"/>
              <w:contextualSpacing/>
              <w:rPr>
                <w:rFonts w:cs="Times New Roman"/>
                <w:szCs w:val="20"/>
              </w:rPr>
            </w:pPr>
          </w:p>
        </w:tc>
        <w:tc>
          <w:tcPr>
            <w:tcW w:w="806" w:type="pct"/>
          </w:tcPr>
          <w:p w14:paraId="7F819194" w14:textId="25E03854" w:rsidR="007D358F" w:rsidRPr="00D71C6A" w:rsidRDefault="0034124D" w:rsidP="00D71C6A">
            <w:pPr>
              <w:autoSpaceDE w:val="0"/>
              <w:autoSpaceDN w:val="0"/>
              <w:adjustRightInd w:val="0"/>
              <w:ind w:right="60"/>
              <w:contextualSpacing/>
              <w:rPr>
                <w:rFonts w:cs="Times New Roman"/>
                <w:color w:val="000000"/>
                <w:szCs w:val="20"/>
              </w:rPr>
            </w:pPr>
            <w:r w:rsidRPr="00D71C6A">
              <w:rPr>
                <w:rFonts w:cs="Times New Roman"/>
                <w:color w:val="000000"/>
                <w:szCs w:val="20"/>
              </w:rPr>
              <w:t>T</w:t>
            </w:r>
            <w:r w:rsidR="007D358F" w:rsidRPr="00D71C6A">
              <w:rPr>
                <w:rFonts w:cs="Times New Roman"/>
                <w:color w:val="000000"/>
                <w:szCs w:val="20"/>
              </w:rPr>
              <w:t>otal</w:t>
            </w:r>
          </w:p>
        </w:tc>
        <w:tc>
          <w:tcPr>
            <w:tcW w:w="1110" w:type="pct"/>
          </w:tcPr>
          <w:p w14:paraId="28BADDE4" w14:textId="77777777" w:rsidR="007D358F" w:rsidRPr="00D71C6A" w:rsidRDefault="007D358F" w:rsidP="00D71C6A">
            <w:pPr>
              <w:autoSpaceDE w:val="0"/>
              <w:autoSpaceDN w:val="0"/>
              <w:adjustRightInd w:val="0"/>
              <w:ind w:right="60"/>
              <w:contextualSpacing/>
              <w:rPr>
                <w:rFonts w:cs="Times New Roman"/>
                <w:color w:val="000000"/>
                <w:szCs w:val="20"/>
              </w:rPr>
            </w:pPr>
            <w:r w:rsidRPr="00D71C6A">
              <w:rPr>
                <w:rFonts w:cs="Times New Roman"/>
                <w:color w:val="000000"/>
                <w:szCs w:val="20"/>
              </w:rPr>
              <w:t>234917807.979</w:t>
            </w:r>
          </w:p>
        </w:tc>
        <w:tc>
          <w:tcPr>
            <w:tcW w:w="630" w:type="pct"/>
          </w:tcPr>
          <w:p w14:paraId="23DF48E0"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47</w:t>
            </w:r>
          </w:p>
        </w:tc>
        <w:tc>
          <w:tcPr>
            <w:tcW w:w="889" w:type="pct"/>
          </w:tcPr>
          <w:p w14:paraId="47FB7312" w14:textId="77777777" w:rsidR="007D358F" w:rsidRPr="00D71C6A" w:rsidRDefault="007D358F" w:rsidP="00D71C6A">
            <w:pPr>
              <w:autoSpaceDE w:val="0"/>
              <w:autoSpaceDN w:val="0"/>
              <w:adjustRightInd w:val="0"/>
              <w:ind w:left="420"/>
              <w:contextualSpacing/>
              <w:rPr>
                <w:rFonts w:cs="Times New Roman"/>
                <w:szCs w:val="20"/>
              </w:rPr>
            </w:pPr>
          </w:p>
        </w:tc>
        <w:tc>
          <w:tcPr>
            <w:tcW w:w="611" w:type="pct"/>
          </w:tcPr>
          <w:p w14:paraId="147A4E23" w14:textId="77777777" w:rsidR="007D358F" w:rsidRPr="00D71C6A" w:rsidRDefault="007D358F" w:rsidP="00D71C6A">
            <w:pPr>
              <w:autoSpaceDE w:val="0"/>
              <w:autoSpaceDN w:val="0"/>
              <w:adjustRightInd w:val="0"/>
              <w:ind w:left="420"/>
              <w:contextualSpacing/>
              <w:rPr>
                <w:rFonts w:cs="Times New Roman"/>
                <w:szCs w:val="20"/>
              </w:rPr>
            </w:pPr>
          </w:p>
        </w:tc>
        <w:tc>
          <w:tcPr>
            <w:tcW w:w="550" w:type="pct"/>
          </w:tcPr>
          <w:p w14:paraId="33144AF7" w14:textId="77777777" w:rsidR="007D358F" w:rsidRPr="00D71C6A" w:rsidRDefault="007D358F" w:rsidP="00D71C6A">
            <w:pPr>
              <w:autoSpaceDE w:val="0"/>
              <w:autoSpaceDN w:val="0"/>
              <w:adjustRightInd w:val="0"/>
              <w:ind w:left="420"/>
              <w:contextualSpacing/>
              <w:rPr>
                <w:rFonts w:cs="Times New Roman"/>
                <w:szCs w:val="20"/>
              </w:rPr>
            </w:pPr>
          </w:p>
        </w:tc>
      </w:tr>
      <w:tr w:rsidR="007D358F" w:rsidRPr="00D71C6A" w14:paraId="7463840F" w14:textId="77777777" w:rsidTr="00286187">
        <w:trPr>
          <w:trHeight w:val="164"/>
        </w:trPr>
        <w:tc>
          <w:tcPr>
            <w:tcW w:w="5000" w:type="pct"/>
            <w:gridSpan w:val="7"/>
          </w:tcPr>
          <w:p w14:paraId="2BC9B64D"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a. Dependent Variable: Harga Saham</w:t>
            </w:r>
          </w:p>
        </w:tc>
      </w:tr>
      <w:tr w:rsidR="007D358F" w:rsidRPr="00D71C6A" w14:paraId="053C71E9" w14:textId="77777777" w:rsidTr="00286187">
        <w:trPr>
          <w:trHeight w:val="256"/>
        </w:trPr>
        <w:tc>
          <w:tcPr>
            <w:tcW w:w="5000" w:type="pct"/>
            <w:gridSpan w:val="7"/>
          </w:tcPr>
          <w:p w14:paraId="28CE165B" w14:textId="77777777" w:rsidR="007D358F" w:rsidRPr="00D71C6A" w:rsidRDefault="007D358F"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b. Predictors: (Constant), DER, ROE, EPS, NPM, ROA</w:t>
            </w:r>
          </w:p>
        </w:tc>
      </w:tr>
      <w:tr w:rsidR="00043D6B" w:rsidRPr="00D71C6A" w14:paraId="6ECF4F2F" w14:textId="77777777" w:rsidTr="00286187">
        <w:trPr>
          <w:trHeight w:val="78"/>
        </w:trPr>
        <w:tc>
          <w:tcPr>
            <w:tcW w:w="5000" w:type="pct"/>
            <w:gridSpan w:val="7"/>
          </w:tcPr>
          <w:p w14:paraId="280EFE03" w14:textId="77777777" w:rsidR="00043D6B" w:rsidRPr="00D71C6A" w:rsidRDefault="00043D6B" w:rsidP="00D71C6A">
            <w:pPr>
              <w:autoSpaceDE w:val="0"/>
              <w:autoSpaceDN w:val="0"/>
              <w:adjustRightInd w:val="0"/>
              <w:ind w:left="420" w:right="60"/>
              <w:contextualSpacing/>
              <w:rPr>
                <w:rFonts w:cs="Times New Roman"/>
                <w:color w:val="000000"/>
                <w:szCs w:val="20"/>
              </w:rPr>
            </w:pPr>
            <w:r w:rsidRPr="00D71C6A">
              <w:rPr>
                <w:rFonts w:cs="Times New Roman"/>
                <w:color w:val="000000"/>
                <w:szCs w:val="20"/>
              </w:rPr>
              <w:t>Sumber : hasil pengolahan data spss, 2025</w:t>
            </w:r>
          </w:p>
          <w:p w14:paraId="62338DAF" w14:textId="77777777" w:rsidR="00043D6B" w:rsidRPr="00D71C6A" w:rsidRDefault="00043D6B" w:rsidP="00D71C6A">
            <w:pPr>
              <w:autoSpaceDE w:val="0"/>
              <w:autoSpaceDN w:val="0"/>
              <w:adjustRightInd w:val="0"/>
              <w:ind w:left="420" w:right="60"/>
              <w:contextualSpacing/>
              <w:rPr>
                <w:rFonts w:cs="Times New Roman"/>
                <w:color w:val="000000"/>
                <w:szCs w:val="20"/>
              </w:rPr>
            </w:pPr>
          </w:p>
        </w:tc>
      </w:tr>
    </w:tbl>
    <w:p w14:paraId="20EA4112" w14:textId="77777777" w:rsidR="00286187" w:rsidRDefault="00286187" w:rsidP="00286187"/>
    <w:p w14:paraId="39C5095E" w14:textId="55CF0749" w:rsidR="0034124D" w:rsidRPr="00D71C6A" w:rsidRDefault="00286187" w:rsidP="00286187">
      <w:r>
        <w:tab/>
      </w:r>
      <w:r w:rsidR="0034124D" w:rsidRPr="00D71C6A">
        <w:t>The F-statistic value is 13.122 with a Sig. value of 0.000 &lt; 0.05, indicating that all independent variables simultaneously and significantly influence the Stock Price.</w:t>
      </w:r>
    </w:p>
    <w:p w14:paraId="6C4172C8" w14:textId="77777777" w:rsidR="00286187" w:rsidRDefault="00286187" w:rsidP="00286187"/>
    <w:p w14:paraId="62D3E555" w14:textId="02575AC2" w:rsidR="007D358F" w:rsidRPr="00286187" w:rsidRDefault="0034124D" w:rsidP="00286187">
      <w:pPr>
        <w:rPr>
          <w:b/>
          <w:bCs/>
        </w:rPr>
      </w:pPr>
      <w:r w:rsidRPr="00286187">
        <w:rPr>
          <w:b/>
          <w:bCs/>
        </w:rPr>
        <w:t>t-Test</w:t>
      </w:r>
    </w:p>
    <w:p w14:paraId="4E5300F7" w14:textId="25DD463D" w:rsidR="0034124D" w:rsidRPr="00D71C6A" w:rsidRDefault="00286187" w:rsidP="00286187">
      <w:r>
        <w:tab/>
      </w:r>
      <w:r w:rsidR="0034124D" w:rsidRPr="00D71C6A">
        <w:t>The t-test is used to determine the influence of each independent variable on the dependent variable partially (individually). The t-test results indicate whether a variable individually has a significant influence or not on the variable under study.</w:t>
      </w:r>
    </w:p>
    <w:p w14:paraId="07280DAD" w14:textId="77777777" w:rsidR="00286187" w:rsidRDefault="00286187" w:rsidP="00286187">
      <w:pPr>
        <w:jc w:val="center"/>
      </w:pPr>
    </w:p>
    <w:p w14:paraId="411A53AE" w14:textId="34DC6C00" w:rsidR="003D3377" w:rsidRPr="00D71C6A" w:rsidRDefault="0034124D" w:rsidP="00286187">
      <w:pPr>
        <w:jc w:val="center"/>
      </w:pPr>
      <w:r w:rsidRPr="00D71C6A">
        <w:t>Table 8. t-Test</w:t>
      </w:r>
    </w:p>
    <w:tbl>
      <w:tblPr>
        <w:tblStyle w:val="Style1"/>
        <w:tblW w:w="5000" w:type="pct"/>
        <w:tblLook w:val="0000" w:firstRow="0" w:lastRow="0" w:firstColumn="0" w:lastColumn="0" w:noHBand="0" w:noVBand="0"/>
      </w:tblPr>
      <w:tblGrid>
        <w:gridCol w:w="923"/>
        <w:gridCol w:w="1181"/>
        <w:gridCol w:w="1276"/>
        <w:gridCol w:w="1276"/>
        <w:gridCol w:w="1408"/>
        <w:gridCol w:w="936"/>
        <w:gridCol w:w="937"/>
      </w:tblGrid>
      <w:tr w:rsidR="00F84048" w:rsidRPr="00D71C6A" w14:paraId="0D642C66" w14:textId="77777777" w:rsidTr="00286187">
        <w:trPr>
          <w:trHeight w:val="287"/>
        </w:trPr>
        <w:tc>
          <w:tcPr>
            <w:tcW w:w="5000" w:type="pct"/>
            <w:gridSpan w:val="7"/>
          </w:tcPr>
          <w:p w14:paraId="38757707" w14:textId="77777777" w:rsidR="00F84048" w:rsidRPr="00D71C6A" w:rsidRDefault="00F84048" w:rsidP="00D71C6A">
            <w:pPr>
              <w:autoSpaceDE w:val="0"/>
              <w:autoSpaceDN w:val="0"/>
              <w:adjustRightInd w:val="0"/>
              <w:ind w:left="60" w:right="60"/>
              <w:contextualSpacing/>
              <w:jc w:val="center"/>
              <w:rPr>
                <w:rFonts w:cs="Times New Roman"/>
                <w:color w:val="000000"/>
                <w:szCs w:val="20"/>
              </w:rPr>
            </w:pPr>
            <w:r w:rsidRPr="00D71C6A">
              <w:rPr>
                <w:rFonts w:cs="Times New Roman"/>
                <w:b/>
                <w:bCs/>
                <w:color w:val="000000"/>
                <w:szCs w:val="20"/>
              </w:rPr>
              <w:t>Coefficients</w:t>
            </w:r>
            <w:r w:rsidRPr="00D71C6A">
              <w:rPr>
                <w:rFonts w:cs="Times New Roman"/>
                <w:b/>
                <w:bCs/>
                <w:color w:val="000000"/>
                <w:szCs w:val="20"/>
                <w:vertAlign w:val="superscript"/>
              </w:rPr>
              <w:t>a</w:t>
            </w:r>
          </w:p>
        </w:tc>
      </w:tr>
      <w:tr w:rsidR="00F84048" w:rsidRPr="00D71C6A" w14:paraId="728E4185" w14:textId="77777777" w:rsidTr="00286187">
        <w:trPr>
          <w:trHeight w:val="587"/>
        </w:trPr>
        <w:tc>
          <w:tcPr>
            <w:tcW w:w="1296" w:type="pct"/>
            <w:gridSpan w:val="2"/>
            <w:vMerge w:val="restart"/>
          </w:tcPr>
          <w:p w14:paraId="57080B43" w14:textId="77777777" w:rsidR="00F84048" w:rsidRPr="00D71C6A" w:rsidRDefault="00F84048"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Model</w:t>
            </w:r>
          </w:p>
        </w:tc>
        <w:tc>
          <w:tcPr>
            <w:tcW w:w="1620" w:type="pct"/>
            <w:gridSpan w:val="2"/>
          </w:tcPr>
          <w:p w14:paraId="6AA4EABF" w14:textId="77777777" w:rsidR="00F84048" w:rsidRPr="00D71C6A" w:rsidRDefault="00F84048"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Unstandardized Coefficients</w:t>
            </w:r>
          </w:p>
        </w:tc>
        <w:tc>
          <w:tcPr>
            <w:tcW w:w="893" w:type="pct"/>
          </w:tcPr>
          <w:p w14:paraId="53CE8052" w14:textId="77777777" w:rsidR="00F84048" w:rsidRPr="00D71C6A" w:rsidRDefault="00F84048"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Standardized Coefficients</w:t>
            </w:r>
          </w:p>
        </w:tc>
        <w:tc>
          <w:tcPr>
            <w:tcW w:w="595" w:type="pct"/>
            <w:vMerge w:val="restart"/>
          </w:tcPr>
          <w:p w14:paraId="341DA8F3" w14:textId="77777777" w:rsidR="00F84048" w:rsidRPr="00D71C6A" w:rsidRDefault="00F84048"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t</w:t>
            </w:r>
          </w:p>
        </w:tc>
        <w:tc>
          <w:tcPr>
            <w:tcW w:w="596" w:type="pct"/>
            <w:vMerge w:val="restart"/>
          </w:tcPr>
          <w:p w14:paraId="70E73FFA" w14:textId="77777777" w:rsidR="00F84048" w:rsidRPr="00D71C6A" w:rsidRDefault="00F84048"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Sig.</w:t>
            </w:r>
          </w:p>
        </w:tc>
      </w:tr>
      <w:tr w:rsidR="00F84048" w:rsidRPr="00D71C6A" w14:paraId="0DC5CAF4" w14:textId="77777777" w:rsidTr="00286187">
        <w:trPr>
          <w:trHeight w:val="131"/>
        </w:trPr>
        <w:tc>
          <w:tcPr>
            <w:tcW w:w="1296" w:type="pct"/>
            <w:gridSpan w:val="2"/>
            <w:vMerge/>
          </w:tcPr>
          <w:p w14:paraId="56747424" w14:textId="77777777" w:rsidR="00F84048" w:rsidRPr="00D71C6A" w:rsidRDefault="00F84048" w:rsidP="00D71C6A">
            <w:pPr>
              <w:autoSpaceDE w:val="0"/>
              <w:autoSpaceDN w:val="0"/>
              <w:adjustRightInd w:val="0"/>
              <w:contextualSpacing/>
              <w:rPr>
                <w:rFonts w:cs="Times New Roman"/>
                <w:color w:val="000000"/>
                <w:szCs w:val="20"/>
              </w:rPr>
            </w:pPr>
          </w:p>
        </w:tc>
        <w:tc>
          <w:tcPr>
            <w:tcW w:w="810" w:type="pct"/>
          </w:tcPr>
          <w:p w14:paraId="4C98676A" w14:textId="77777777" w:rsidR="00F84048" w:rsidRPr="00D71C6A" w:rsidRDefault="00F84048"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B</w:t>
            </w:r>
          </w:p>
        </w:tc>
        <w:tc>
          <w:tcPr>
            <w:tcW w:w="810" w:type="pct"/>
          </w:tcPr>
          <w:p w14:paraId="0DC41B49" w14:textId="77777777" w:rsidR="00F84048" w:rsidRPr="00D71C6A" w:rsidRDefault="00F84048"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Std. Error</w:t>
            </w:r>
          </w:p>
        </w:tc>
        <w:tc>
          <w:tcPr>
            <w:tcW w:w="893" w:type="pct"/>
          </w:tcPr>
          <w:p w14:paraId="375787D4" w14:textId="77777777" w:rsidR="00F84048" w:rsidRPr="00D71C6A" w:rsidRDefault="00F84048" w:rsidP="00D71C6A">
            <w:pPr>
              <w:autoSpaceDE w:val="0"/>
              <w:autoSpaceDN w:val="0"/>
              <w:adjustRightInd w:val="0"/>
              <w:ind w:left="60" w:right="60"/>
              <w:contextualSpacing/>
              <w:jc w:val="center"/>
              <w:rPr>
                <w:rFonts w:cs="Times New Roman"/>
                <w:color w:val="000000"/>
                <w:szCs w:val="20"/>
              </w:rPr>
            </w:pPr>
            <w:r w:rsidRPr="00D71C6A">
              <w:rPr>
                <w:rFonts w:cs="Times New Roman"/>
                <w:color w:val="000000"/>
                <w:szCs w:val="20"/>
              </w:rPr>
              <w:t>Beta</w:t>
            </w:r>
          </w:p>
        </w:tc>
        <w:tc>
          <w:tcPr>
            <w:tcW w:w="595" w:type="pct"/>
            <w:vMerge/>
          </w:tcPr>
          <w:p w14:paraId="34028E5B" w14:textId="77777777" w:rsidR="00F84048" w:rsidRPr="00D71C6A" w:rsidRDefault="00F84048" w:rsidP="00D71C6A">
            <w:pPr>
              <w:autoSpaceDE w:val="0"/>
              <w:autoSpaceDN w:val="0"/>
              <w:adjustRightInd w:val="0"/>
              <w:contextualSpacing/>
              <w:rPr>
                <w:rFonts w:cs="Times New Roman"/>
                <w:color w:val="000000"/>
                <w:szCs w:val="20"/>
              </w:rPr>
            </w:pPr>
          </w:p>
        </w:tc>
        <w:tc>
          <w:tcPr>
            <w:tcW w:w="596" w:type="pct"/>
            <w:vMerge/>
          </w:tcPr>
          <w:p w14:paraId="611C17B1" w14:textId="77777777" w:rsidR="00F84048" w:rsidRPr="00D71C6A" w:rsidRDefault="00F84048" w:rsidP="00D71C6A">
            <w:pPr>
              <w:autoSpaceDE w:val="0"/>
              <w:autoSpaceDN w:val="0"/>
              <w:adjustRightInd w:val="0"/>
              <w:contextualSpacing/>
              <w:rPr>
                <w:rFonts w:cs="Times New Roman"/>
                <w:color w:val="000000"/>
                <w:szCs w:val="20"/>
              </w:rPr>
            </w:pPr>
          </w:p>
        </w:tc>
      </w:tr>
      <w:tr w:rsidR="00F84048" w:rsidRPr="00D71C6A" w14:paraId="6D613D68" w14:textId="77777777" w:rsidTr="00286187">
        <w:trPr>
          <w:trHeight w:val="287"/>
        </w:trPr>
        <w:tc>
          <w:tcPr>
            <w:tcW w:w="588" w:type="pct"/>
            <w:vMerge w:val="restart"/>
          </w:tcPr>
          <w:p w14:paraId="7807AA76" w14:textId="77777777" w:rsidR="00F84048" w:rsidRPr="00D71C6A" w:rsidRDefault="00F84048"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1</w:t>
            </w:r>
          </w:p>
        </w:tc>
        <w:tc>
          <w:tcPr>
            <w:tcW w:w="708" w:type="pct"/>
          </w:tcPr>
          <w:p w14:paraId="59235711" w14:textId="77777777" w:rsidR="00F84048" w:rsidRPr="00D71C6A" w:rsidRDefault="00F84048"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(Constant)</w:t>
            </w:r>
          </w:p>
        </w:tc>
        <w:tc>
          <w:tcPr>
            <w:tcW w:w="810" w:type="pct"/>
          </w:tcPr>
          <w:p w14:paraId="3BD01E16"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356.286</w:t>
            </w:r>
          </w:p>
        </w:tc>
        <w:tc>
          <w:tcPr>
            <w:tcW w:w="810" w:type="pct"/>
          </w:tcPr>
          <w:p w14:paraId="3A1F15F2"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337.284</w:t>
            </w:r>
          </w:p>
        </w:tc>
        <w:tc>
          <w:tcPr>
            <w:tcW w:w="893" w:type="pct"/>
          </w:tcPr>
          <w:p w14:paraId="5599CA97" w14:textId="77777777" w:rsidR="00F84048" w:rsidRPr="00D71C6A" w:rsidRDefault="00F84048" w:rsidP="00D71C6A">
            <w:pPr>
              <w:autoSpaceDE w:val="0"/>
              <w:autoSpaceDN w:val="0"/>
              <w:adjustRightInd w:val="0"/>
              <w:contextualSpacing/>
              <w:rPr>
                <w:rFonts w:cs="Times New Roman"/>
                <w:szCs w:val="20"/>
              </w:rPr>
            </w:pPr>
          </w:p>
        </w:tc>
        <w:tc>
          <w:tcPr>
            <w:tcW w:w="595" w:type="pct"/>
          </w:tcPr>
          <w:p w14:paraId="07FDEF5B"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1.056</w:t>
            </w:r>
          </w:p>
        </w:tc>
        <w:tc>
          <w:tcPr>
            <w:tcW w:w="596" w:type="pct"/>
          </w:tcPr>
          <w:p w14:paraId="33D42A23"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.001</w:t>
            </w:r>
          </w:p>
        </w:tc>
      </w:tr>
      <w:tr w:rsidR="00F84048" w:rsidRPr="00D71C6A" w14:paraId="7FF61886" w14:textId="77777777" w:rsidTr="00286187">
        <w:trPr>
          <w:trHeight w:val="131"/>
        </w:trPr>
        <w:tc>
          <w:tcPr>
            <w:tcW w:w="588" w:type="pct"/>
            <w:vMerge/>
          </w:tcPr>
          <w:p w14:paraId="467D9D91" w14:textId="77777777" w:rsidR="00F84048" w:rsidRPr="00D71C6A" w:rsidRDefault="00F84048" w:rsidP="00D71C6A">
            <w:pPr>
              <w:autoSpaceDE w:val="0"/>
              <w:autoSpaceDN w:val="0"/>
              <w:adjustRightInd w:val="0"/>
              <w:contextualSpacing/>
              <w:rPr>
                <w:rFonts w:cs="Times New Roman"/>
                <w:color w:val="000000"/>
                <w:szCs w:val="20"/>
              </w:rPr>
            </w:pPr>
          </w:p>
        </w:tc>
        <w:tc>
          <w:tcPr>
            <w:tcW w:w="708" w:type="pct"/>
          </w:tcPr>
          <w:p w14:paraId="5C1294F9" w14:textId="77777777" w:rsidR="00F84048" w:rsidRPr="00D71C6A" w:rsidRDefault="00F84048"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ROA</w:t>
            </w:r>
          </w:p>
        </w:tc>
        <w:tc>
          <w:tcPr>
            <w:tcW w:w="810" w:type="pct"/>
          </w:tcPr>
          <w:p w14:paraId="4FE9F15E"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-242.355</w:t>
            </w:r>
          </w:p>
        </w:tc>
        <w:tc>
          <w:tcPr>
            <w:tcW w:w="810" w:type="pct"/>
          </w:tcPr>
          <w:p w14:paraId="5CDD85FA"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306.197</w:t>
            </w:r>
          </w:p>
        </w:tc>
        <w:tc>
          <w:tcPr>
            <w:tcW w:w="893" w:type="pct"/>
          </w:tcPr>
          <w:p w14:paraId="3969B810"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-.355</w:t>
            </w:r>
          </w:p>
        </w:tc>
        <w:tc>
          <w:tcPr>
            <w:tcW w:w="595" w:type="pct"/>
          </w:tcPr>
          <w:p w14:paraId="27C71B66"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-.792</w:t>
            </w:r>
          </w:p>
        </w:tc>
        <w:tc>
          <w:tcPr>
            <w:tcW w:w="596" w:type="pct"/>
          </w:tcPr>
          <w:p w14:paraId="1C72ECE0"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.003</w:t>
            </w:r>
          </w:p>
        </w:tc>
      </w:tr>
      <w:tr w:rsidR="00F84048" w:rsidRPr="00D71C6A" w14:paraId="405A14B0" w14:textId="77777777" w:rsidTr="00286187">
        <w:trPr>
          <w:trHeight w:val="131"/>
        </w:trPr>
        <w:tc>
          <w:tcPr>
            <w:tcW w:w="588" w:type="pct"/>
            <w:vMerge/>
          </w:tcPr>
          <w:p w14:paraId="1F17D401" w14:textId="77777777" w:rsidR="00F84048" w:rsidRPr="00D71C6A" w:rsidRDefault="00F84048" w:rsidP="00D71C6A">
            <w:pPr>
              <w:autoSpaceDE w:val="0"/>
              <w:autoSpaceDN w:val="0"/>
              <w:adjustRightInd w:val="0"/>
              <w:contextualSpacing/>
              <w:rPr>
                <w:rFonts w:cs="Times New Roman"/>
                <w:color w:val="000000"/>
                <w:szCs w:val="20"/>
              </w:rPr>
            </w:pPr>
          </w:p>
        </w:tc>
        <w:tc>
          <w:tcPr>
            <w:tcW w:w="708" w:type="pct"/>
          </w:tcPr>
          <w:p w14:paraId="702CDFA2" w14:textId="77777777" w:rsidR="00F84048" w:rsidRPr="00D71C6A" w:rsidRDefault="00F84048"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ROE</w:t>
            </w:r>
          </w:p>
        </w:tc>
        <w:tc>
          <w:tcPr>
            <w:tcW w:w="810" w:type="pct"/>
          </w:tcPr>
          <w:p w14:paraId="048C4FAD"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64.186</w:t>
            </w:r>
          </w:p>
        </w:tc>
        <w:tc>
          <w:tcPr>
            <w:tcW w:w="810" w:type="pct"/>
          </w:tcPr>
          <w:p w14:paraId="15D96336"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138.995</w:t>
            </w:r>
          </w:p>
        </w:tc>
        <w:tc>
          <w:tcPr>
            <w:tcW w:w="893" w:type="pct"/>
          </w:tcPr>
          <w:p w14:paraId="4FBFCD68"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.175</w:t>
            </w:r>
          </w:p>
        </w:tc>
        <w:tc>
          <w:tcPr>
            <w:tcW w:w="595" w:type="pct"/>
          </w:tcPr>
          <w:p w14:paraId="0C37F0DE"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.462</w:t>
            </w:r>
          </w:p>
        </w:tc>
        <w:tc>
          <w:tcPr>
            <w:tcW w:w="596" w:type="pct"/>
          </w:tcPr>
          <w:p w14:paraId="59201F35"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.001</w:t>
            </w:r>
          </w:p>
        </w:tc>
      </w:tr>
      <w:tr w:rsidR="00F84048" w:rsidRPr="00D71C6A" w14:paraId="10D8DFBB" w14:textId="77777777" w:rsidTr="00286187">
        <w:trPr>
          <w:trHeight w:val="131"/>
        </w:trPr>
        <w:tc>
          <w:tcPr>
            <w:tcW w:w="588" w:type="pct"/>
            <w:vMerge/>
          </w:tcPr>
          <w:p w14:paraId="5AD87502" w14:textId="77777777" w:rsidR="00F84048" w:rsidRPr="00D71C6A" w:rsidRDefault="00F84048" w:rsidP="00D71C6A">
            <w:pPr>
              <w:autoSpaceDE w:val="0"/>
              <w:autoSpaceDN w:val="0"/>
              <w:adjustRightInd w:val="0"/>
              <w:contextualSpacing/>
              <w:rPr>
                <w:rFonts w:cs="Times New Roman"/>
                <w:color w:val="000000"/>
                <w:szCs w:val="20"/>
              </w:rPr>
            </w:pPr>
          </w:p>
        </w:tc>
        <w:tc>
          <w:tcPr>
            <w:tcW w:w="708" w:type="pct"/>
          </w:tcPr>
          <w:p w14:paraId="3D0DBC19" w14:textId="77777777" w:rsidR="00F84048" w:rsidRPr="00D71C6A" w:rsidRDefault="00F84048"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NPM</w:t>
            </w:r>
          </w:p>
        </w:tc>
        <w:tc>
          <w:tcPr>
            <w:tcW w:w="810" w:type="pct"/>
          </w:tcPr>
          <w:p w14:paraId="52F5D3E9"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32.892</w:t>
            </w:r>
          </w:p>
        </w:tc>
        <w:tc>
          <w:tcPr>
            <w:tcW w:w="810" w:type="pct"/>
          </w:tcPr>
          <w:p w14:paraId="3BCF80C4"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58.942</w:t>
            </w:r>
          </w:p>
        </w:tc>
        <w:tc>
          <w:tcPr>
            <w:tcW w:w="893" w:type="pct"/>
          </w:tcPr>
          <w:p w14:paraId="228BA0FE"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.113</w:t>
            </w:r>
          </w:p>
        </w:tc>
        <w:tc>
          <w:tcPr>
            <w:tcW w:w="595" w:type="pct"/>
          </w:tcPr>
          <w:p w14:paraId="61ABF62E"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.558</w:t>
            </w:r>
          </w:p>
        </w:tc>
        <w:tc>
          <w:tcPr>
            <w:tcW w:w="596" w:type="pct"/>
          </w:tcPr>
          <w:p w14:paraId="1D102E9C"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.002</w:t>
            </w:r>
          </w:p>
        </w:tc>
      </w:tr>
      <w:tr w:rsidR="00F84048" w:rsidRPr="00D71C6A" w14:paraId="715728E4" w14:textId="77777777" w:rsidTr="00286187">
        <w:trPr>
          <w:trHeight w:val="131"/>
        </w:trPr>
        <w:tc>
          <w:tcPr>
            <w:tcW w:w="588" w:type="pct"/>
            <w:vMerge/>
          </w:tcPr>
          <w:p w14:paraId="6B0BC03A" w14:textId="77777777" w:rsidR="00F84048" w:rsidRPr="00D71C6A" w:rsidRDefault="00F84048" w:rsidP="00D71C6A">
            <w:pPr>
              <w:autoSpaceDE w:val="0"/>
              <w:autoSpaceDN w:val="0"/>
              <w:adjustRightInd w:val="0"/>
              <w:contextualSpacing/>
              <w:rPr>
                <w:rFonts w:cs="Times New Roman"/>
                <w:color w:val="000000"/>
                <w:szCs w:val="20"/>
              </w:rPr>
            </w:pPr>
          </w:p>
        </w:tc>
        <w:tc>
          <w:tcPr>
            <w:tcW w:w="708" w:type="pct"/>
          </w:tcPr>
          <w:p w14:paraId="3CDA7339" w14:textId="77777777" w:rsidR="00F84048" w:rsidRPr="00D71C6A" w:rsidRDefault="00F84048"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EPS</w:t>
            </w:r>
          </w:p>
        </w:tc>
        <w:tc>
          <w:tcPr>
            <w:tcW w:w="810" w:type="pct"/>
          </w:tcPr>
          <w:p w14:paraId="238318D1"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7.963</w:t>
            </w:r>
          </w:p>
        </w:tc>
        <w:tc>
          <w:tcPr>
            <w:tcW w:w="810" w:type="pct"/>
          </w:tcPr>
          <w:p w14:paraId="775BCBDC"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1.017</w:t>
            </w:r>
          </w:p>
        </w:tc>
        <w:tc>
          <w:tcPr>
            <w:tcW w:w="893" w:type="pct"/>
          </w:tcPr>
          <w:p w14:paraId="17A8B122"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.814</w:t>
            </w:r>
          </w:p>
        </w:tc>
        <w:tc>
          <w:tcPr>
            <w:tcW w:w="595" w:type="pct"/>
          </w:tcPr>
          <w:p w14:paraId="3DA022B8"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7.831</w:t>
            </w:r>
          </w:p>
        </w:tc>
        <w:tc>
          <w:tcPr>
            <w:tcW w:w="596" w:type="pct"/>
          </w:tcPr>
          <w:p w14:paraId="4360BD9E"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r>
      <w:tr w:rsidR="00F84048" w:rsidRPr="00D71C6A" w14:paraId="1B389A9A" w14:textId="77777777" w:rsidTr="00286187">
        <w:trPr>
          <w:trHeight w:val="131"/>
        </w:trPr>
        <w:tc>
          <w:tcPr>
            <w:tcW w:w="588" w:type="pct"/>
            <w:vMerge/>
          </w:tcPr>
          <w:p w14:paraId="37C8B282" w14:textId="77777777" w:rsidR="00F84048" w:rsidRPr="00D71C6A" w:rsidRDefault="00F84048" w:rsidP="00D71C6A">
            <w:pPr>
              <w:autoSpaceDE w:val="0"/>
              <w:autoSpaceDN w:val="0"/>
              <w:adjustRightInd w:val="0"/>
              <w:contextualSpacing/>
              <w:rPr>
                <w:rFonts w:cs="Times New Roman"/>
                <w:color w:val="000000"/>
                <w:szCs w:val="20"/>
              </w:rPr>
            </w:pPr>
          </w:p>
        </w:tc>
        <w:tc>
          <w:tcPr>
            <w:tcW w:w="708" w:type="pct"/>
          </w:tcPr>
          <w:p w14:paraId="2974EC7C" w14:textId="77777777" w:rsidR="00F84048" w:rsidRPr="00D71C6A" w:rsidRDefault="00F84048"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DER</w:t>
            </w:r>
          </w:p>
        </w:tc>
        <w:tc>
          <w:tcPr>
            <w:tcW w:w="810" w:type="pct"/>
          </w:tcPr>
          <w:p w14:paraId="05A120ED"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105.402</w:t>
            </w:r>
          </w:p>
        </w:tc>
        <w:tc>
          <w:tcPr>
            <w:tcW w:w="810" w:type="pct"/>
          </w:tcPr>
          <w:p w14:paraId="1178C957"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165.376</w:t>
            </w:r>
          </w:p>
        </w:tc>
        <w:tc>
          <w:tcPr>
            <w:tcW w:w="893" w:type="pct"/>
          </w:tcPr>
          <w:p w14:paraId="61D0CCA5"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.064</w:t>
            </w:r>
          </w:p>
        </w:tc>
        <w:tc>
          <w:tcPr>
            <w:tcW w:w="595" w:type="pct"/>
          </w:tcPr>
          <w:p w14:paraId="2247BF11"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.637</w:t>
            </w:r>
          </w:p>
        </w:tc>
        <w:tc>
          <w:tcPr>
            <w:tcW w:w="596" w:type="pct"/>
          </w:tcPr>
          <w:p w14:paraId="3579C2F2" w14:textId="77777777" w:rsidR="00F84048" w:rsidRPr="00D71C6A" w:rsidRDefault="00F84048" w:rsidP="00D71C6A">
            <w:pPr>
              <w:autoSpaceDE w:val="0"/>
              <w:autoSpaceDN w:val="0"/>
              <w:adjustRightInd w:val="0"/>
              <w:ind w:left="60" w:right="60"/>
              <w:contextualSpacing/>
              <w:jc w:val="right"/>
              <w:rPr>
                <w:rFonts w:cs="Times New Roman"/>
                <w:color w:val="000000"/>
                <w:szCs w:val="20"/>
              </w:rPr>
            </w:pPr>
            <w:r w:rsidRPr="00D71C6A">
              <w:rPr>
                <w:rFonts w:cs="Times New Roman"/>
                <w:color w:val="000000"/>
                <w:szCs w:val="20"/>
              </w:rPr>
              <w:t>.000</w:t>
            </w:r>
          </w:p>
        </w:tc>
      </w:tr>
      <w:tr w:rsidR="00F84048" w:rsidRPr="00D71C6A" w14:paraId="59BFE841" w14:textId="77777777" w:rsidTr="00286187">
        <w:trPr>
          <w:trHeight w:val="287"/>
        </w:trPr>
        <w:tc>
          <w:tcPr>
            <w:tcW w:w="5000" w:type="pct"/>
            <w:gridSpan w:val="7"/>
          </w:tcPr>
          <w:p w14:paraId="658FD3DE" w14:textId="77777777" w:rsidR="00F84048" w:rsidRPr="00D71C6A" w:rsidRDefault="00F84048"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a. Dependent Variable: Harga Saham</w:t>
            </w:r>
          </w:p>
        </w:tc>
      </w:tr>
      <w:tr w:rsidR="00043D6B" w:rsidRPr="00D71C6A" w14:paraId="6155010B" w14:textId="77777777" w:rsidTr="00286187">
        <w:trPr>
          <w:trHeight w:val="287"/>
        </w:trPr>
        <w:tc>
          <w:tcPr>
            <w:tcW w:w="5000" w:type="pct"/>
            <w:gridSpan w:val="7"/>
          </w:tcPr>
          <w:p w14:paraId="221DAB66" w14:textId="77777777" w:rsidR="00043D6B" w:rsidRPr="00D71C6A" w:rsidRDefault="00043D6B" w:rsidP="00D71C6A">
            <w:pPr>
              <w:autoSpaceDE w:val="0"/>
              <w:autoSpaceDN w:val="0"/>
              <w:adjustRightInd w:val="0"/>
              <w:ind w:left="60" w:right="60"/>
              <w:contextualSpacing/>
              <w:rPr>
                <w:rFonts w:cs="Times New Roman"/>
                <w:color w:val="000000"/>
                <w:szCs w:val="20"/>
              </w:rPr>
            </w:pPr>
            <w:r w:rsidRPr="00D71C6A">
              <w:rPr>
                <w:rFonts w:cs="Times New Roman"/>
                <w:color w:val="000000"/>
                <w:szCs w:val="20"/>
              </w:rPr>
              <w:t>Sumber : hasil pengolahan data spss, 2025</w:t>
            </w:r>
          </w:p>
          <w:p w14:paraId="67451C21" w14:textId="77777777" w:rsidR="00043D6B" w:rsidRPr="00D71C6A" w:rsidRDefault="00043D6B" w:rsidP="00D71C6A">
            <w:pPr>
              <w:autoSpaceDE w:val="0"/>
              <w:autoSpaceDN w:val="0"/>
              <w:adjustRightInd w:val="0"/>
              <w:ind w:left="60" w:right="60"/>
              <w:contextualSpacing/>
              <w:rPr>
                <w:rFonts w:cs="Times New Roman"/>
                <w:color w:val="000000"/>
                <w:szCs w:val="20"/>
              </w:rPr>
            </w:pPr>
          </w:p>
        </w:tc>
      </w:tr>
    </w:tbl>
    <w:p w14:paraId="16DB579A" w14:textId="77777777" w:rsidR="00286187" w:rsidRDefault="00286187" w:rsidP="00286187"/>
    <w:p w14:paraId="5CC35F5B" w14:textId="77BC7AB2" w:rsidR="003D3377" w:rsidRPr="00D71C6A" w:rsidRDefault="00286187" w:rsidP="00286187">
      <w:r>
        <w:tab/>
      </w:r>
      <w:r w:rsidR="0034124D" w:rsidRPr="00D71C6A">
        <w:t>All variables are partially significant. ROA has a negative influence, while ROE, NPM, EPS, and DER have a positive influence. EPS has the most dominant influence compared to the other variables.</w:t>
      </w:r>
    </w:p>
    <w:p w14:paraId="5F7665B2" w14:textId="77777777" w:rsidR="00286187" w:rsidRDefault="00286187" w:rsidP="00286187"/>
    <w:p w14:paraId="58D69E44" w14:textId="6F27A874" w:rsidR="007D358F" w:rsidRPr="00286187" w:rsidRDefault="0034124D" w:rsidP="00286187">
      <w:pPr>
        <w:rPr>
          <w:b/>
          <w:bCs/>
        </w:rPr>
      </w:pPr>
      <w:r w:rsidRPr="00286187">
        <w:rPr>
          <w:b/>
          <w:bCs/>
        </w:rPr>
        <w:t xml:space="preserve">Test </w:t>
      </w:r>
      <w:r w:rsidR="007D358F" w:rsidRPr="00286187">
        <w:rPr>
          <w:b/>
          <w:bCs/>
        </w:rPr>
        <w:t>R</w:t>
      </w:r>
      <w:r w:rsidR="007D358F" w:rsidRPr="00286187">
        <w:rPr>
          <w:b/>
          <w:bCs/>
          <w:vertAlign w:val="superscript"/>
        </w:rPr>
        <w:t>2</w:t>
      </w:r>
    </w:p>
    <w:p w14:paraId="70E47AAB" w14:textId="5C284BBB" w:rsidR="006E1321" w:rsidRPr="00D71C6A" w:rsidRDefault="00286187" w:rsidP="00286187">
      <w:r>
        <w:tab/>
      </w:r>
      <w:r w:rsidR="0034124D" w:rsidRPr="00D71C6A">
        <w:t xml:space="preserve">The </w:t>
      </w:r>
      <w:r w:rsidR="00F84048" w:rsidRPr="00D71C6A">
        <w:t xml:space="preserve">R² </w:t>
      </w:r>
      <w:r w:rsidR="0034124D" w:rsidRPr="00D71C6A">
        <w:t>test is used to measure the proportion of the variation in the dependent variable that is explained by the independent variables.</w:t>
      </w:r>
      <w:r w:rsidR="002A19BE" w:rsidRPr="00D71C6A">
        <w:t xml:space="preserve"> An</w:t>
      </w:r>
      <w:r w:rsidR="00F84048" w:rsidRPr="00D71C6A">
        <w:t xml:space="preserve"> R</w:t>
      </w:r>
      <w:r w:rsidR="002A19BE" w:rsidRPr="00D71C6A">
        <w:t xml:space="preserve"> value closer to 1 indicates that the model is better at explaining the variation in the dependent variable, whereas a small value suggests that many other factors outside the model influence the dependent variable.</w:t>
      </w:r>
    </w:p>
    <w:p w14:paraId="1EE50CA4" w14:textId="77777777" w:rsidR="00286187" w:rsidRDefault="00286187" w:rsidP="00286187">
      <w:pPr>
        <w:jc w:val="center"/>
      </w:pPr>
    </w:p>
    <w:p w14:paraId="0BD2C66B" w14:textId="10EE3E9F" w:rsidR="006E1321" w:rsidRPr="00D71C6A" w:rsidRDefault="0034124D" w:rsidP="00286187">
      <w:pPr>
        <w:jc w:val="center"/>
      </w:pPr>
      <w:r w:rsidRPr="00D71C6A">
        <w:t>Table 9. R</w:t>
      </w:r>
      <w:r w:rsidRPr="00D71C6A">
        <w:rPr>
          <w:vertAlign w:val="superscript"/>
        </w:rPr>
        <w:t>2</w:t>
      </w:r>
      <w:r w:rsidRPr="00D71C6A">
        <w:t>-Test</w:t>
      </w:r>
    </w:p>
    <w:tbl>
      <w:tblPr>
        <w:tblStyle w:val="Style1"/>
        <w:tblW w:w="5000" w:type="pct"/>
        <w:tblLook w:val="0000" w:firstRow="0" w:lastRow="0" w:firstColumn="0" w:lastColumn="0" w:noHBand="0" w:noVBand="0"/>
      </w:tblPr>
      <w:tblGrid>
        <w:gridCol w:w="1418"/>
        <w:gridCol w:w="1903"/>
        <w:gridCol w:w="1019"/>
        <w:gridCol w:w="1398"/>
        <w:gridCol w:w="2199"/>
      </w:tblGrid>
      <w:tr w:rsidR="00F84048" w:rsidRPr="00D71C6A" w14:paraId="0FDC4E3E" w14:textId="77777777" w:rsidTr="00286187">
        <w:trPr>
          <w:trHeight w:val="190"/>
        </w:trPr>
        <w:tc>
          <w:tcPr>
            <w:tcW w:w="5000" w:type="pct"/>
            <w:gridSpan w:val="5"/>
          </w:tcPr>
          <w:p w14:paraId="5C3F9FA4" w14:textId="77777777" w:rsidR="00F84048" w:rsidRPr="00D71C6A" w:rsidRDefault="00F84048" w:rsidP="00D71C6A">
            <w:pPr>
              <w:autoSpaceDE w:val="0"/>
              <w:autoSpaceDN w:val="0"/>
              <w:adjustRightInd w:val="0"/>
              <w:ind w:right="62"/>
              <w:contextualSpacing/>
              <w:jc w:val="center"/>
              <w:rPr>
                <w:rFonts w:cs="Times New Roman"/>
                <w:color w:val="000000"/>
                <w:szCs w:val="20"/>
              </w:rPr>
            </w:pPr>
            <w:r w:rsidRPr="00D71C6A">
              <w:rPr>
                <w:rFonts w:cs="Times New Roman"/>
                <w:b/>
                <w:bCs/>
                <w:color w:val="000000"/>
                <w:szCs w:val="20"/>
              </w:rPr>
              <w:t>Model Summary</w:t>
            </w:r>
          </w:p>
        </w:tc>
      </w:tr>
      <w:tr w:rsidR="00F84048" w:rsidRPr="00D71C6A" w14:paraId="68F6E877" w14:textId="77777777" w:rsidTr="00286187">
        <w:trPr>
          <w:trHeight w:val="389"/>
        </w:trPr>
        <w:tc>
          <w:tcPr>
            <w:tcW w:w="893" w:type="pct"/>
          </w:tcPr>
          <w:p w14:paraId="11B25713" w14:textId="77777777" w:rsidR="00F84048" w:rsidRPr="00D71C6A" w:rsidRDefault="00F84048" w:rsidP="00D71C6A">
            <w:pPr>
              <w:autoSpaceDE w:val="0"/>
              <w:autoSpaceDN w:val="0"/>
              <w:adjustRightInd w:val="0"/>
              <w:ind w:left="62" w:right="62"/>
              <w:contextualSpacing/>
              <w:rPr>
                <w:rFonts w:cs="Times New Roman"/>
                <w:color w:val="000000"/>
                <w:szCs w:val="20"/>
              </w:rPr>
            </w:pPr>
            <w:r w:rsidRPr="00D71C6A">
              <w:rPr>
                <w:rFonts w:cs="Times New Roman"/>
                <w:color w:val="000000"/>
                <w:szCs w:val="20"/>
              </w:rPr>
              <w:t>Model</w:t>
            </w:r>
          </w:p>
        </w:tc>
        <w:tc>
          <w:tcPr>
            <w:tcW w:w="1199" w:type="pct"/>
          </w:tcPr>
          <w:p w14:paraId="01C33060" w14:textId="77777777" w:rsidR="00F84048" w:rsidRPr="00D71C6A" w:rsidRDefault="00F84048" w:rsidP="00D71C6A">
            <w:pPr>
              <w:autoSpaceDE w:val="0"/>
              <w:autoSpaceDN w:val="0"/>
              <w:adjustRightInd w:val="0"/>
              <w:ind w:left="62" w:right="62"/>
              <w:contextualSpacing/>
              <w:jc w:val="center"/>
              <w:rPr>
                <w:rFonts w:cs="Times New Roman"/>
                <w:color w:val="000000"/>
                <w:szCs w:val="20"/>
              </w:rPr>
            </w:pPr>
            <w:r w:rsidRPr="00D71C6A">
              <w:rPr>
                <w:rFonts w:cs="Times New Roman"/>
                <w:color w:val="000000"/>
                <w:szCs w:val="20"/>
              </w:rPr>
              <w:t>R</w:t>
            </w:r>
          </w:p>
        </w:tc>
        <w:tc>
          <w:tcPr>
            <w:tcW w:w="642" w:type="pct"/>
          </w:tcPr>
          <w:p w14:paraId="38237664" w14:textId="77777777" w:rsidR="00F84048" w:rsidRPr="00D71C6A" w:rsidRDefault="00F84048" w:rsidP="00D71C6A">
            <w:pPr>
              <w:autoSpaceDE w:val="0"/>
              <w:autoSpaceDN w:val="0"/>
              <w:adjustRightInd w:val="0"/>
              <w:ind w:left="62" w:right="62"/>
              <w:contextualSpacing/>
              <w:jc w:val="center"/>
              <w:rPr>
                <w:rFonts w:cs="Times New Roman"/>
                <w:color w:val="000000"/>
                <w:szCs w:val="20"/>
              </w:rPr>
            </w:pPr>
            <w:r w:rsidRPr="00D71C6A">
              <w:rPr>
                <w:rFonts w:cs="Times New Roman"/>
                <w:color w:val="000000"/>
                <w:szCs w:val="20"/>
              </w:rPr>
              <w:t>R Square</w:t>
            </w:r>
          </w:p>
        </w:tc>
        <w:tc>
          <w:tcPr>
            <w:tcW w:w="881" w:type="pct"/>
          </w:tcPr>
          <w:p w14:paraId="4381B7EA" w14:textId="77777777" w:rsidR="00F84048" w:rsidRPr="00D71C6A" w:rsidRDefault="00F84048" w:rsidP="00D71C6A">
            <w:pPr>
              <w:autoSpaceDE w:val="0"/>
              <w:autoSpaceDN w:val="0"/>
              <w:adjustRightInd w:val="0"/>
              <w:ind w:left="62" w:right="62"/>
              <w:contextualSpacing/>
              <w:jc w:val="center"/>
              <w:rPr>
                <w:rFonts w:cs="Times New Roman"/>
                <w:color w:val="000000"/>
                <w:szCs w:val="20"/>
              </w:rPr>
            </w:pPr>
            <w:r w:rsidRPr="00D71C6A">
              <w:rPr>
                <w:rFonts w:cs="Times New Roman"/>
                <w:color w:val="000000"/>
                <w:szCs w:val="20"/>
              </w:rPr>
              <w:t>Adjusted R Square</w:t>
            </w:r>
          </w:p>
        </w:tc>
        <w:tc>
          <w:tcPr>
            <w:tcW w:w="1385" w:type="pct"/>
          </w:tcPr>
          <w:p w14:paraId="627977D4" w14:textId="77777777" w:rsidR="00F84048" w:rsidRPr="00D71C6A" w:rsidRDefault="00F84048" w:rsidP="00D71C6A">
            <w:pPr>
              <w:autoSpaceDE w:val="0"/>
              <w:autoSpaceDN w:val="0"/>
              <w:adjustRightInd w:val="0"/>
              <w:ind w:left="62" w:right="62"/>
              <w:contextualSpacing/>
              <w:jc w:val="center"/>
              <w:rPr>
                <w:rFonts w:cs="Times New Roman"/>
                <w:color w:val="000000"/>
                <w:szCs w:val="20"/>
              </w:rPr>
            </w:pPr>
            <w:r w:rsidRPr="00D71C6A">
              <w:rPr>
                <w:rFonts w:cs="Times New Roman"/>
                <w:color w:val="000000"/>
                <w:szCs w:val="20"/>
              </w:rPr>
              <w:t>Std. Error of the Estimate</w:t>
            </w:r>
          </w:p>
        </w:tc>
      </w:tr>
      <w:tr w:rsidR="00F84048" w:rsidRPr="00D71C6A" w14:paraId="70859CC0" w14:textId="77777777" w:rsidTr="00286187">
        <w:trPr>
          <w:trHeight w:val="181"/>
        </w:trPr>
        <w:tc>
          <w:tcPr>
            <w:tcW w:w="893" w:type="pct"/>
          </w:tcPr>
          <w:p w14:paraId="6340FF03" w14:textId="77777777" w:rsidR="00F84048" w:rsidRPr="00D71C6A" w:rsidRDefault="00F84048" w:rsidP="00D71C6A">
            <w:pPr>
              <w:autoSpaceDE w:val="0"/>
              <w:autoSpaceDN w:val="0"/>
              <w:adjustRightInd w:val="0"/>
              <w:ind w:left="62" w:right="62"/>
              <w:contextualSpacing/>
              <w:rPr>
                <w:rFonts w:cs="Times New Roman"/>
                <w:color w:val="000000"/>
                <w:szCs w:val="20"/>
              </w:rPr>
            </w:pPr>
            <w:r w:rsidRPr="00D71C6A">
              <w:rPr>
                <w:rFonts w:cs="Times New Roman"/>
                <w:color w:val="000000"/>
                <w:szCs w:val="20"/>
              </w:rPr>
              <w:lastRenderedPageBreak/>
              <w:t>1</w:t>
            </w:r>
          </w:p>
        </w:tc>
        <w:tc>
          <w:tcPr>
            <w:tcW w:w="1199" w:type="pct"/>
          </w:tcPr>
          <w:p w14:paraId="4F83F180" w14:textId="77777777" w:rsidR="00F84048" w:rsidRPr="00D71C6A" w:rsidRDefault="00F84048" w:rsidP="00D71C6A">
            <w:pPr>
              <w:autoSpaceDE w:val="0"/>
              <w:autoSpaceDN w:val="0"/>
              <w:adjustRightInd w:val="0"/>
              <w:ind w:left="62" w:right="62"/>
              <w:contextualSpacing/>
              <w:jc w:val="right"/>
              <w:rPr>
                <w:rFonts w:cs="Times New Roman"/>
                <w:color w:val="000000"/>
                <w:szCs w:val="20"/>
              </w:rPr>
            </w:pPr>
            <w:r w:rsidRPr="00D71C6A">
              <w:rPr>
                <w:rFonts w:cs="Times New Roman"/>
                <w:color w:val="000000"/>
                <w:szCs w:val="20"/>
              </w:rPr>
              <w:t>.781</w:t>
            </w:r>
            <w:r w:rsidRPr="00D71C6A">
              <w:rPr>
                <w:rFonts w:cs="Times New Roman"/>
                <w:color w:val="000000"/>
                <w:szCs w:val="20"/>
                <w:vertAlign w:val="superscript"/>
              </w:rPr>
              <w:t>a</w:t>
            </w:r>
          </w:p>
        </w:tc>
        <w:tc>
          <w:tcPr>
            <w:tcW w:w="642" w:type="pct"/>
          </w:tcPr>
          <w:p w14:paraId="13D4AC6C" w14:textId="77777777" w:rsidR="00F84048" w:rsidRPr="00D71C6A" w:rsidRDefault="00F84048" w:rsidP="00D71C6A">
            <w:pPr>
              <w:autoSpaceDE w:val="0"/>
              <w:autoSpaceDN w:val="0"/>
              <w:adjustRightInd w:val="0"/>
              <w:ind w:left="62" w:right="62"/>
              <w:contextualSpacing/>
              <w:jc w:val="right"/>
              <w:rPr>
                <w:rFonts w:cs="Times New Roman"/>
                <w:color w:val="000000"/>
                <w:szCs w:val="20"/>
              </w:rPr>
            </w:pPr>
            <w:r w:rsidRPr="00D71C6A">
              <w:rPr>
                <w:rFonts w:cs="Times New Roman"/>
                <w:color w:val="000000"/>
                <w:szCs w:val="20"/>
              </w:rPr>
              <w:t>.610</w:t>
            </w:r>
          </w:p>
        </w:tc>
        <w:tc>
          <w:tcPr>
            <w:tcW w:w="881" w:type="pct"/>
          </w:tcPr>
          <w:p w14:paraId="60E75471" w14:textId="77777777" w:rsidR="00F84048" w:rsidRPr="00D71C6A" w:rsidRDefault="00F84048" w:rsidP="00D71C6A">
            <w:pPr>
              <w:autoSpaceDE w:val="0"/>
              <w:autoSpaceDN w:val="0"/>
              <w:adjustRightInd w:val="0"/>
              <w:ind w:left="62" w:right="62"/>
              <w:contextualSpacing/>
              <w:jc w:val="right"/>
              <w:rPr>
                <w:rFonts w:cs="Times New Roman"/>
                <w:color w:val="000000"/>
                <w:szCs w:val="20"/>
              </w:rPr>
            </w:pPr>
            <w:r w:rsidRPr="00D71C6A">
              <w:rPr>
                <w:rFonts w:cs="Times New Roman"/>
                <w:color w:val="000000"/>
                <w:szCs w:val="20"/>
              </w:rPr>
              <w:t>.563</w:t>
            </w:r>
          </w:p>
        </w:tc>
        <w:tc>
          <w:tcPr>
            <w:tcW w:w="1385" w:type="pct"/>
          </w:tcPr>
          <w:p w14:paraId="259F6F82" w14:textId="77777777" w:rsidR="00F84048" w:rsidRPr="00D71C6A" w:rsidRDefault="00F84048" w:rsidP="00D71C6A">
            <w:pPr>
              <w:autoSpaceDE w:val="0"/>
              <w:autoSpaceDN w:val="0"/>
              <w:adjustRightInd w:val="0"/>
              <w:ind w:left="62" w:right="62"/>
              <w:contextualSpacing/>
              <w:jc w:val="right"/>
              <w:rPr>
                <w:rFonts w:cs="Times New Roman"/>
                <w:color w:val="000000"/>
                <w:szCs w:val="20"/>
              </w:rPr>
            </w:pPr>
            <w:r w:rsidRPr="00D71C6A">
              <w:rPr>
                <w:rFonts w:cs="Times New Roman"/>
                <w:color w:val="000000"/>
                <w:szCs w:val="20"/>
              </w:rPr>
              <w:t>1477.498</w:t>
            </w:r>
          </w:p>
        </w:tc>
      </w:tr>
      <w:tr w:rsidR="00F84048" w:rsidRPr="00D71C6A" w14:paraId="0A0099CF" w14:textId="77777777" w:rsidTr="00286187">
        <w:trPr>
          <w:trHeight w:val="181"/>
        </w:trPr>
        <w:tc>
          <w:tcPr>
            <w:tcW w:w="5000" w:type="pct"/>
            <w:gridSpan w:val="5"/>
          </w:tcPr>
          <w:p w14:paraId="50DB5960" w14:textId="77777777" w:rsidR="00F84048" w:rsidRPr="00D71C6A" w:rsidRDefault="00F84048" w:rsidP="00D71C6A">
            <w:pPr>
              <w:autoSpaceDE w:val="0"/>
              <w:autoSpaceDN w:val="0"/>
              <w:adjustRightInd w:val="0"/>
              <w:ind w:left="62" w:right="62"/>
              <w:contextualSpacing/>
              <w:rPr>
                <w:rFonts w:cs="Times New Roman"/>
                <w:color w:val="000000"/>
                <w:szCs w:val="20"/>
              </w:rPr>
            </w:pPr>
            <w:r w:rsidRPr="00D71C6A">
              <w:rPr>
                <w:rFonts w:cs="Times New Roman"/>
                <w:color w:val="000000"/>
                <w:szCs w:val="20"/>
              </w:rPr>
              <w:t>a. Predictors: (Constant), DER, ROE, EPS, NPM, ROA</w:t>
            </w:r>
          </w:p>
        </w:tc>
      </w:tr>
      <w:tr w:rsidR="00043D6B" w:rsidRPr="00D71C6A" w14:paraId="67DA3BAE" w14:textId="77777777" w:rsidTr="00286187">
        <w:trPr>
          <w:trHeight w:val="181"/>
        </w:trPr>
        <w:tc>
          <w:tcPr>
            <w:tcW w:w="5000" w:type="pct"/>
            <w:gridSpan w:val="5"/>
          </w:tcPr>
          <w:p w14:paraId="038386E2" w14:textId="5422AFDE" w:rsidR="00043D6B" w:rsidRPr="00D71C6A" w:rsidRDefault="00043D6B" w:rsidP="00286187">
            <w:pPr>
              <w:autoSpaceDE w:val="0"/>
              <w:autoSpaceDN w:val="0"/>
              <w:adjustRightInd w:val="0"/>
              <w:ind w:left="62" w:right="62"/>
              <w:contextualSpacing/>
              <w:rPr>
                <w:rFonts w:cs="Times New Roman"/>
                <w:color w:val="000000"/>
                <w:szCs w:val="20"/>
              </w:rPr>
            </w:pPr>
            <w:r w:rsidRPr="00D71C6A">
              <w:rPr>
                <w:rFonts w:cs="Times New Roman"/>
                <w:color w:val="000000"/>
                <w:szCs w:val="20"/>
              </w:rPr>
              <w:t>Sumber : hasil pengolahan data spss, 2025</w:t>
            </w:r>
          </w:p>
        </w:tc>
      </w:tr>
    </w:tbl>
    <w:p w14:paraId="4B71E252" w14:textId="51C1ABA4" w:rsidR="00774B14" w:rsidRPr="00D71C6A" w:rsidRDefault="00286187" w:rsidP="00286187">
      <w:r>
        <w:tab/>
      </w:r>
      <w:r w:rsidR="002A19BE" w:rsidRPr="00D71C6A">
        <w:t xml:space="preserve">The </w:t>
      </w:r>
      <w:r w:rsidR="00F84048" w:rsidRPr="00D71C6A">
        <w:t xml:space="preserve">R² = 0,610, </w:t>
      </w:r>
      <w:r w:rsidR="002A19BE" w:rsidRPr="00D71C6A">
        <w:t>meaning</w:t>
      </w:r>
      <w:r w:rsidR="00F84048" w:rsidRPr="00D71C6A">
        <w:t xml:space="preserve"> 61% </w:t>
      </w:r>
      <w:r w:rsidR="002A19BE" w:rsidRPr="00D71C6A">
        <w:t>of the variation in the Stock Price can be explained by the independent variables in the model, while the remaining 39% is influenced by other factors outside this research model.</w:t>
      </w:r>
    </w:p>
    <w:p w14:paraId="5C07FE45" w14:textId="77777777" w:rsidR="00286187" w:rsidRDefault="00286187" w:rsidP="00286187"/>
    <w:p w14:paraId="04C22452" w14:textId="7F041E36" w:rsidR="00EB2E5C" w:rsidRPr="00286187" w:rsidRDefault="009C7AA2" w:rsidP="00286187">
      <w:pPr>
        <w:rPr>
          <w:b/>
          <w:bCs/>
        </w:rPr>
      </w:pPr>
      <w:r w:rsidRPr="00286187">
        <w:rPr>
          <w:b/>
          <w:bCs/>
        </w:rPr>
        <w:t>Discussion of Research Result</w:t>
      </w:r>
    </w:p>
    <w:p w14:paraId="3B098B05" w14:textId="658C5B43" w:rsidR="00CF33D6" w:rsidRPr="00D71C6A" w:rsidRDefault="00CF33D6" w:rsidP="00286187">
      <w:r w:rsidRPr="00D71C6A">
        <w:t>Effect of Return on Assets (ROA) on Stock Price</w:t>
      </w:r>
    </w:p>
    <w:p w14:paraId="1416F5C2" w14:textId="784B618F" w:rsidR="00CF33D6" w:rsidRPr="00D71C6A" w:rsidRDefault="00286187" w:rsidP="00286187">
      <w:r>
        <w:tab/>
      </w:r>
      <w:r w:rsidR="00CF33D6" w:rsidRPr="00D71C6A">
        <w:t>The partial test results indicate that ROA has a significant but negative effect on stock price. This counter-intuitive finding suggests that an increase in a palm oil company</w:t>
      </w:r>
      <w:r>
        <w:t>’</w:t>
      </w:r>
      <w:r w:rsidR="00CF33D6" w:rsidRPr="00D71C6A">
        <w:t xml:space="preserve">s asset efficiency is met with a decrease in its stock price. This outcome is likely rooted in the inherent characteristics of the commodity sector during the 2021–2023 period. Investors may perceive high ROA, which can be inflated by temporary CPO price spikes, as unsustainable or potentially indicative of underlying instability in long-term earnings, especially considering the escalating global scrutiny on ESG (Environmental, Social, and Governance) issues within the palm oil industry. Consequently, high asset efficiency alone fails to serve as a reliable signal for robust future returns in this volatile sector. This result is consistent with the findings of </w:t>
      </w:r>
      <w:r w:rsidR="005A52F7" w:rsidRPr="00D71C6A">
        <w:t>(</w:t>
      </w:r>
      <w:r w:rsidR="00884186" w:rsidRPr="00D71C6A">
        <w:fldChar w:fldCharType="begin" w:fldLock="1"/>
      </w:r>
      <w:r w:rsidR="003A4F73" w:rsidRPr="00D71C6A">
        <w:instrText>ADDIN CSL_CITATION {"citationItems":[{"id":"ITEM-1","itemData":{"DOI":"10.55047/marginal.v2i3.704","ISSN":"2809-9222","abstract":"Fundamental analysis is a widely used approach for predicting stock price movements. This study aims to investigate the impact of return on assets (ROA), return on equity (ROE), and net profit margin (NPM) on the stock prices of food and beverage companies listed on the Indonesia Stock Exchange during the period of 2019-2021. The research is based on secondary data from 84 samples. The data analysis employs multiple linear regression using the SPSS version 22 application. The findings reveal that return on assets and net profit margin do not exhibit significant effects and have a negative influence on stock prices. Conversely, return on equity demonstrates a significant and positive correlation with stock prices. Overall, the study indicates that ROA, ROE, and NPM significantly impact stock prices. As a recommendation, investors should closely analyze ROA, ROE, NPM, and stock price movements to enhance their profitability.","author":[{"dropping-particle":"","family":"Ilyas","given":"Andi Alfiyah","non-dropping-particle":"","parse-names":false,"suffix":""},{"dropping-particle":"","family":"Haeruddin","given":"M. Ikhwan Maulana","non-dropping-particle":"","parse-names":false,"suffix":""},{"dropping-particle":"","family":"Anwar","given":"","non-dropping-particle":"","parse-names":false,"suffix":""},{"dropping-particle":"","family":"Sahabuddin","given":"Romansyah","non-dropping-particle":"","parse-names":false,"suffix":""},{"dropping-particle":"","family":"Musa","given":"Muh. Ichwan","non-dropping-particle":"","parse-names":false,"suffix":""}],"container-title":"Marginal Journal of Management, Accounting, General Finance and International Economic Issues","id":"ITEM-1","issue":"3","issued":{"date-parts":[["2023"]]},"page":"711-718","title":"the Effect of Return on Assets, Return on Equity, and Net Profit Margin on Stock Prices in Food and Beverage Companies Listed on the Indonesia Stock Exchange for the 2019-2021 Period","type":"article-journal","volume":"2"},"uris":["http://www.mendeley.com/documents/?uuid=50264930-8993-4cc6-b68c-5a931521d16b"]}],"mendeley":{"formattedCitation":"(Ilyas et al., 2023)","manualFormatting":"Ilyas et al., 2023;","plainTextFormattedCitation":"(Ilyas et al., 2023)","previouslyFormattedCitation":"(Ilyas et al., 2023)"},"properties":{"noteIndex":0},"schema":"https://github.com/citation-style-language/schema/raw/master/csl-citation.json"}</w:instrText>
      </w:r>
      <w:r w:rsidR="00884186" w:rsidRPr="00D71C6A">
        <w:fldChar w:fldCharType="separate"/>
      </w:r>
      <w:r w:rsidR="00884186" w:rsidRPr="00D71C6A">
        <w:t>Ilyas et al., 2023</w:t>
      </w:r>
      <w:r w:rsidR="005A52F7" w:rsidRPr="00D71C6A">
        <w:t>;</w:t>
      </w:r>
      <w:r w:rsidR="00884186" w:rsidRPr="00D71C6A">
        <w:fldChar w:fldCharType="end"/>
      </w:r>
      <w:r w:rsidR="005A52F7" w:rsidRPr="00D71C6A">
        <w:t>and</w:t>
      </w:r>
      <w:r w:rsidR="00884186" w:rsidRPr="00D71C6A">
        <w:t xml:space="preserve"> </w:t>
      </w:r>
      <w:r w:rsidR="00884186" w:rsidRPr="00D71C6A">
        <w:fldChar w:fldCharType="begin" w:fldLock="1"/>
      </w:r>
      <w:r w:rsidR="005A52F7" w:rsidRPr="00D71C6A">
        <w:instrText>ADDIN CSL_CITATION {"citationItems":[{"id":"ITEM-1","itemData":{"abstract":"The stock price circulating in the stock market illustrates the performance of a company. The high low value of stock price is influenced by various factors including the company's financial performance. The research aims to test the influence of Return on Asset (ROA) and Loan To Deposit Ratio (LDR) variables on the stock price of the BUMN banking subsectors listed in Indonesia Stock Exchange period 2011-2019. The methods used in this study are with quantitative descriptive methods with correlational analysis, using secondary data with a population of 4 bank, and the sampling method used in this study is a method of saturated samples, in which all population members are used as samples. From the hypothesis test results (Test t) the Return On Asset (X1) is obtained the calculated t value is greater than t table (-2,194 &gt; 2,034) with the value sig. 0,035 &lt; sig.0,05 This indicates that Ha1 is accepted, meaning that ROA affects negative and significant to the stock price. While the Loan To Deposit Ratio (X2) variable the count t value is greater than t table (-3,267 &gt; 2,034) with a value sig 0,003 &lt; sig.0,05 This indicates that the Ha2 is accepted, meaning that LDR affects negative and significant to the stock price. And obtained the count F value &gt; F table which is 5,393 &gt; 3,28 and a significant value of 0,009 &lt; sig, 0,05 which means ROA and LDR are simultaneously influential and significant to the stock price. The conclusion from the results of research ROA has negative and significant effect on the stock price. LDR has a negative and significant effect on the stock price. While ROA and LDR are simultaneously influential on the stock price..","author":[{"dropping-particle":"","family":"Fauji","given":"Ade","non-dropping-particle":"","parse-names":false,"suffix":""},{"dropping-particle":"","family":"Karniawati","given":"Puji","non-dropping-particle":"","parse-names":false,"suffix":""}],"container-title":"Indonesian Journal of Economy, Business, Entrepreneuship and Finance","id":"ITEM-1","issue":"1","issued":{"date-parts":[["2021"]]},"page":"71-84","title":"Pengaruh Return On Asset ( ROA ) dan Loan to Deposit Ratio ( LDR ) Terhadap Harga Saham Pada Subsektor Perbankan Bumn Yang Terdaftar Di Bursa Efek","type":"article-journal","volume":"1"},"uris":["http://www.mendeley.com/documents/?uuid=762929fc-6438-4d49-94db-fe3f86ffc159"]}],"mendeley":{"formattedCitation":"(Fauji &amp; Karniawati, 2021)","manualFormatting":"Fauji Karniawati, 2021)","plainTextFormattedCitation":"(Fauji &amp; Karniawati, 2021)","previouslyFormattedCitation":"(Fauji &amp; Karniawati, 2021)"},"properties":{"noteIndex":0},"schema":"https://github.com/citation-style-language/schema/raw/master/csl-citation.json"}</w:instrText>
      </w:r>
      <w:r w:rsidR="00884186" w:rsidRPr="00D71C6A">
        <w:fldChar w:fldCharType="separate"/>
      </w:r>
      <w:r w:rsidR="00884186" w:rsidRPr="00D71C6A">
        <w:t>Fauji Karniawati, 2021)</w:t>
      </w:r>
      <w:r w:rsidR="00884186" w:rsidRPr="00D71C6A">
        <w:fldChar w:fldCharType="end"/>
      </w:r>
      <w:r w:rsidR="00CF33D6" w:rsidRPr="00D71C6A">
        <w:t>.</w:t>
      </w:r>
    </w:p>
    <w:p w14:paraId="1697C98A" w14:textId="3D487833" w:rsidR="00CF33D6" w:rsidRPr="00D71C6A" w:rsidRDefault="00CF33D6" w:rsidP="00286187">
      <w:r w:rsidRPr="00D71C6A">
        <w:t>Effect of Return on Equity (ROE) on Stock Price</w:t>
      </w:r>
    </w:p>
    <w:p w14:paraId="6AEC3316" w14:textId="0DD63BFA" w:rsidR="00CF33D6" w:rsidRPr="00D71C6A" w:rsidRDefault="00286187" w:rsidP="00286187">
      <w:r>
        <w:tab/>
      </w:r>
      <w:r w:rsidR="00CF33D6" w:rsidRPr="00D71C6A">
        <w:t>In contrast to ROA, the analysis reveals that ROE has a significant and positive effect on stock price. The positive coefficient confirms that a higher ROE</w:t>
      </w:r>
      <w:r w:rsidR="005A52F7" w:rsidRPr="00D71C6A">
        <w:t xml:space="preserve"> </w:t>
      </w:r>
      <w:r w:rsidR="00CF33D6" w:rsidRPr="00D71C6A">
        <w:t>reflecting the company's superior ability to generate profit from its shareholders' equity</w:t>
      </w:r>
      <w:r w:rsidR="005A52F7" w:rsidRPr="00D71C6A">
        <w:t xml:space="preserve"> </w:t>
      </w:r>
      <w:r w:rsidR="00CF33D6" w:rsidRPr="00D71C6A">
        <w:t>significantly enhances its market appeal. Investors interpret a strong ROE as a clear indicator of management’s effectiveness in utilizing owners' funds to create wealth. This directly supports the Signaling Theory, as the company successfully communicates its high potential for direct returns to shareholders, thereby boosting market confidence and valuation. This finding aligns with the literature provided by</w:t>
      </w:r>
      <w:r w:rsidR="003F3E27" w:rsidRPr="00D71C6A">
        <w:t xml:space="preserve"> </w:t>
      </w:r>
      <w:r w:rsidR="00884186" w:rsidRPr="00D71C6A">
        <w:fldChar w:fldCharType="begin" w:fldLock="1"/>
      </w:r>
      <w:r w:rsidR="00884186" w:rsidRPr="00D71C6A">
        <w:instrText>ADDIN CSL_CITATION {"citationItems":[{"id":"ITEM-1","itemData":{"author":[{"dropping-particle":"","family":"Devitra","given":"Joni","non-dropping-particle":"","parse-names":false,"suffix":""}],"id":"ITEM-1","issue":"10","issued":{"date-parts":[["2025"]]},"title":"Influence Return on Equity ( ROE ), and Net Profit Margin ( NPM ) Against Return Shares of Food and Beverage Sub-Sector Companies on the Indonesian Stock Exchange Period 2022-2023","type":"article-journal","volume":"01"},"uris":["http://www.mendeley.com/documents/?uuid=b4c36d28-7457-46bd-8912-070b03809faf"]}],"mendeley":{"formattedCitation":"(Devitra, 2025)","manualFormatting":"Devitra (2025)","plainTextFormattedCitation":"(Devitra, 2025)","previouslyFormattedCitation":"(Devitra, 2025)"},"properties":{"noteIndex":0},"schema":"https://github.com/citation-style-language/schema/raw/master/csl-citation.json"}</w:instrText>
      </w:r>
      <w:r w:rsidR="00884186" w:rsidRPr="00D71C6A">
        <w:fldChar w:fldCharType="separate"/>
      </w:r>
      <w:r w:rsidR="00884186" w:rsidRPr="00D71C6A">
        <w:t>Devitra (2025)</w:t>
      </w:r>
      <w:r w:rsidR="00884186" w:rsidRPr="00D71C6A">
        <w:fldChar w:fldCharType="end"/>
      </w:r>
      <w:r w:rsidR="00884186" w:rsidRPr="00D71C6A">
        <w:t xml:space="preserve"> </w:t>
      </w:r>
      <w:r w:rsidR="00CF33D6" w:rsidRPr="00D71C6A">
        <w:t>and</w:t>
      </w:r>
      <w:r w:rsidR="003F3E27" w:rsidRPr="00D71C6A">
        <w:t xml:space="preserve"> </w:t>
      </w:r>
      <w:r w:rsidR="00884186" w:rsidRPr="00D71C6A">
        <w:fldChar w:fldCharType="begin" w:fldLock="1"/>
      </w:r>
      <w:r w:rsidR="00884186" w:rsidRPr="00D71C6A">
        <w:instrText>ADDIN CSL_CITATION {"citationItems":[{"id":"ITEM-1","itemData":{"author":[{"dropping-particle":"","family":"Rizkina","given":"Zahira","non-dropping-particle":"","parse-names":false,"suffix":""},{"dropping-particle":"","family":"Mahmudi","given":"Bambang","non-dropping-particle":"","parse-names":false,"suffix":""},{"dropping-particle":"","family":"Khaerunnisa","given":"Enis","non-dropping-particle":"","parse-names":false,"suffix":""}],"id":"ITEM-1","issue":"4","issued":{"date-parts":[["2023"]]},"page":"75-84","title":"THE EFFECT OF EARNING PER SHARE ( EPS ) AND RETURN ON EQUITY ( ROE ) ON STOCK PRICES WITH INFLATION AS MODERATING VARIABLE ( Study on Financing institutions listed on the Indonesian Stock Exchange 2012- 2021 Period )","type":"article-journal","volume":"2"},"uris":["http://www.mendeley.com/documents/?uuid=25d02114-052d-450a-ac1e-acf9329fb4cc"]}],"mendeley":{"formattedCitation":"(Rizkina et al., 2023)","manualFormatting":"Rizkina et al., (2023)","plainTextFormattedCitation":"(Rizkina et al., 2023)","previouslyFormattedCitation":"(Rizkina et al., 2023)"},"properties":{"noteIndex":0},"schema":"https://github.com/citation-style-language/schema/raw/master/csl-citation.json"}</w:instrText>
      </w:r>
      <w:r w:rsidR="00884186" w:rsidRPr="00D71C6A">
        <w:fldChar w:fldCharType="separate"/>
      </w:r>
      <w:r w:rsidR="00884186" w:rsidRPr="00D71C6A">
        <w:t>Rizkina et al., (2023)</w:t>
      </w:r>
      <w:r w:rsidR="00884186" w:rsidRPr="00D71C6A">
        <w:fldChar w:fldCharType="end"/>
      </w:r>
      <w:r w:rsidR="003F3E27" w:rsidRPr="00D71C6A">
        <w:t>.</w:t>
      </w:r>
    </w:p>
    <w:p w14:paraId="5941ADD1" w14:textId="0455DCFD" w:rsidR="00CF33D6" w:rsidRPr="00D71C6A" w:rsidRDefault="00CF33D6" w:rsidP="00286187">
      <w:r w:rsidRPr="00D71C6A">
        <w:t>Effect of Net Profit Margin (NPM) on Stock Price</w:t>
      </w:r>
    </w:p>
    <w:p w14:paraId="73DFD25F" w14:textId="0B5B8F60" w:rsidR="00CF33D6" w:rsidRPr="00D71C6A" w:rsidRDefault="00286187" w:rsidP="00286187">
      <w:r>
        <w:tab/>
      </w:r>
      <w:r w:rsidR="00CF33D6" w:rsidRPr="00D71C6A">
        <w:t>The variable NPM demonstrates a significant and positive effect on stock price. This outcome confirms that a higher proportion of net profit retained from sales is viewed favorably by the market. Investors view high Net Profit Margin as a signal of operational efficiency and financial health, indicating the company</w:t>
      </w:r>
      <w:r>
        <w:t>’</w:t>
      </w:r>
      <w:r w:rsidR="00CF33D6" w:rsidRPr="00D71C6A">
        <w:t xml:space="preserve">s strong ability to manage costs relative to revenue. A robust NPM suggests a greater capacity to withstand external cost pressures and secure long-term profitability, leading to increased investor interest and subsequent stock price appreciation. This conclusion is supported by the results of </w:t>
      </w:r>
      <w:r w:rsidR="00884186" w:rsidRPr="00D71C6A">
        <w:fldChar w:fldCharType="begin" w:fldLock="1"/>
      </w:r>
      <w:r w:rsidR="00884186" w:rsidRPr="00D71C6A">
        <w:instrText>ADDIN CSL_CITATION {"citationItems":[{"id":"ITEM-1","itemData":{"author":[{"dropping-particle":"","family":"Amelia","given":"Ganar","non-dropping-particle":"","parse-names":false,"suffix":""}],"container-title":"Jurnal Akuntansi","id":"ITEM-1","issue":"4","issued":{"date-parts":[["2023"]]},"page":"1-20","title":"Pengaruh Net Profit Margin (NPM) dan Price Earning Ratio (PER) Terhadap Return Saham","type":"article-journal","volume":"2"},"uris":["http://www.mendeley.com/documents/?uuid=e8567b63-2a41-4114-bb50-35f72f57a426"]}],"mendeley":{"formattedCitation":"(Amelia, 2023)","manualFormatting":"Amelia, (2023)","plainTextFormattedCitation":"(Amelia, 2023)","previouslyFormattedCitation":"(Amelia, 2023)"},"properties":{"noteIndex":0},"schema":"https://github.com/citation-style-language/schema/raw/master/csl-citation.json"}</w:instrText>
      </w:r>
      <w:r w:rsidR="00884186" w:rsidRPr="00D71C6A">
        <w:fldChar w:fldCharType="separate"/>
      </w:r>
      <w:r w:rsidR="00884186" w:rsidRPr="00D71C6A">
        <w:t>Amelia, (2023)</w:t>
      </w:r>
      <w:r w:rsidR="00884186" w:rsidRPr="00D71C6A">
        <w:fldChar w:fldCharType="end"/>
      </w:r>
      <w:r w:rsidR="00884186" w:rsidRPr="00D71C6A">
        <w:t xml:space="preserve"> </w:t>
      </w:r>
      <w:r w:rsidR="00CF33D6" w:rsidRPr="00D71C6A">
        <w:t>and</w:t>
      </w:r>
      <w:r w:rsidR="003F3E27" w:rsidRPr="00D71C6A">
        <w:t xml:space="preserve"> </w:t>
      </w:r>
      <w:r w:rsidR="00884186" w:rsidRPr="00D71C6A">
        <w:fldChar w:fldCharType="begin" w:fldLock="1"/>
      </w:r>
      <w:r w:rsidR="00884186" w:rsidRPr="00D71C6A">
        <w:instrText>ADDIN CSL_CITATION {"citationItems":[{"id":"ITEM-1","itemData":{"author":[{"dropping-particle":"","family":"Ginting","given":"Camelia","non-dropping-particle":"","parse-names":false,"suffix":""},{"dropping-particle":"","family":"Siregar","given":"Qahfi Romula","non-dropping-particle":"","parse-names":false,"suffix":""},{"dropping-particle":"","family":"Price","given":"Stock","non-dropping-particle":"","parse-names":false,"suffix":""}],"id":"ITEM-1","issue":"3","issued":{"date-parts":[["2024"]]},"title":"Bursa : Jurnal Ekonomi dan Bisnis Pengaruh Net Profit Margin Dan Earning Per Share Terhadap Harga","type":"article-journal","volume":"3"},"uris":["http://www.mendeley.com/documents/?uuid=9be85f8c-9bab-40b6-9e7d-ed27dabe2342"]}],"mendeley":{"formattedCitation":"(Ginting et al., 2024)","manualFormatting":"Ginting et al., (2024)","plainTextFormattedCitation":"(Ginting et al., 2024)","previouslyFormattedCitation":"(Ginting et al., 2024)"},"properties":{"noteIndex":0},"schema":"https://github.com/citation-style-language/schema/raw/master/csl-citation.json"}</w:instrText>
      </w:r>
      <w:r w:rsidR="00884186" w:rsidRPr="00D71C6A">
        <w:fldChar w:fldCharType="separate"/>
      </w:r>
      <w:r w:rsidR="00884186" w:rsidRPr="00D71C6A">
        <w:t>Ginting et al., (2024)</w:t>
      </w:r>
      <w:r w:rsidR="00884186" w:rsidRPr="00D71C6A">
        <w:fldChar w:fldCharType="end"/>
      </w:r>
      <w:r w:rsidR="00CF33D6" w:rsidRPr="00D71C6A">
        <w:t>.</w:t>
      </w:r>
    </w:p>
    <w:p w14:paraId="0724CB5B" w14:textId="77777777" w:rsidR="005A52F7" w:rsidRPr="00D71C6A" w:rsidRDefault="005A52F7" w:rsidP="00286187">
      <w:r w:rsidRPr="00D71C6A">
        <w:t>The Effect of Earnings per Share (EPS) on Stock Price</w:t>
      </w:r>
    </w:p>
    <w:p w14:paraId="6EB1D771" w14:textId="07D7F568" w:rsidR="005A52F7" w:rsidRPr="00D71C6A" w:rsidRDefault="00286187" w:rsidP="00286187">
      <w:r>
        <w:tab/>
      </w:r>
      <w:r w:rsidR="005A52F7" w:rsidRPr="00D71C6A">
        <w:t xml:space="preserve">The partial test results show that EPS has a significant and positive effect on stock price, and is furthermore identified as the most dominant variable influencing stock valuation. The magnitude of the regression coefficient for EPS indicates a highly sensitive and positive market response to improvements in net profit allocated per outstanding share. This dominance arises because EPS is the most direct measure of return available to common shareholders and serves as the primary benchmark for predicting future dividend payouts and growth. This finding is reinforced by the consensus in recent literature, including </w:t>
      </w:r>
      <w:r w:rsidR="00884186" w:rsidRPr="00D71C6A">
        <w:fldChar w:fldCharType="begin" w:fldLock="1"/>
      </w:r>
      <w:r w:rsidR="00DC72A0" w:rsidRPr="00D71C6A">
        <w:instrText>ADDIN CSL_CITATION {"citationItems":[{"id":"ITEM-1","itemData":{"author":[{"dropping-particle":"","family":"Taubah","given":"Indriani Devinta","non-dropping-particle":"","parse-names":false,"suffix":""},{"dropping-particle":"","family":"Roslina","given":"Nita Yura","non-dropping-particle":"","parse-names":false,"suffix":""},{"dropping-particle":"","family":"Damayanti","given":"Indah","non-dropping-particle":"","parse-names":false,"suffix":""},{"dropping-particle":"","family":"Tansar","given":"Indri Ayu","non-dropping-particle":"","parse-names":false,"suffix":""}],"id":"ITEM-1","issue":"1","issued":{"date-parts":[["2024"]]},"page":"49-63","title":"The Influence of Earning Per Share ( EPS ) and Price Earnings Ratio ( PER ) on Stock Prices in the Food and Beverage Sector on the Indonesian Stock Exchange ( BEI ) for the 2015-2019 Period","type":"article-journal","volume":"2"},"uris":["http://www.mendeley.com/documents/?uuid=8869ea3e-47e7-4ca9-8c22-ad3155845930"]}],"mendeley":{"formattedCitation":"(Taubah et al., 2024)","manualFormatting":"Taubah et al., (2024)","plainTextFormattedCitation":"(Taubah et al., 2024)","previouslyFormattedCitation":"(Taubah et al., 2024)"},"properties":{"noteIndex":0},"schema":"https://github.com/citation-style-language/schema/raw/master/csl-citation.json"}</w:instrText>
      </w:r>
      <w:r w:rsidR="00884186" w:rsidRPr="00D71C6A">
        <w:fldChar w:fldCharType="separate"/>
      </w:r>
      <w:r w:rsidR="00884186" w:rsidRPr="00D71C6A">
        <w:t>Taubah et al., (2024)</w:t>
      </w:r>
      <w:r w:rsidR="00884186" w:rsidRPr="00D71C6A">
        <w:fldChar w:fldCharType="end"/>
      </w:r>
      <w:r w:rsidR="00884186" w:rsidRPr="00D71C6A">
        <w:t xml:space="preserve"> </w:t>
      </w:r>
      <w:r w:rsidR="003F3E27" w:rsidRPr="00D71C6A">
        <w:t>an</w:t>
      </w:r>
      <w:r w:rsidR="005A52F7" w:rsidRPr="00D71C6A">
        <w:t>d</w:t>
      </w:r>
      <w:r w:rsidR="003F3E27" w:rsidRPr="00D71C6A">
        <w:t xml:space="preserve"> </w:t>
      </w:r>
      <w:r w:rsidR="00DC72A0" w:rsidRPr="00D71C6A">
        <w:fldChar w:fldCharType="begin" w:fldLock="1"/>
      </w:r>
      <w:r w:rsidR="00DC72A0" w:rsidRPr="00D71C6A">
        <w:instrText>ADDIN CSL_CITATION {"citationItems":[{"id":"ITEM-1","itemData":{"DOI":"10.26487/akrual.v17i01.32073","author":[{"dropping-particle":"","family":"Muh.Ferial Ferniawan, Andi Kusumawati","given":"Afdal","non-dropping-particle":"","parse-names":false,"suffix":""}],"id":"ITEM-1","issue":"January","issued":{"date-parts":[["2024"]]},"page":"114-130","title":"The Influence of Earnings Per Share ( EPS ), Price Earnings Ratio ( PER ), Price to Book Value ( PBV ), and Debt Equity Ratio ( DER ) on the Stock Return","type":"article-journal"},"uris":["http://www.mendeley.com/documents/?uuid=b0d2c3a3-933a-422a-807c-402b12a092ec"]}],"mendeley":{"formattedCitation":"(Muh.Ferial Ferniawan, Andi Kusumawati, 2024)","manualFormatting":"Ferniawan et al., (2024)","plainTextFormattedCitation":"(Muh.Ferial Ferniawan, Andi Kusumawati, 2024)","previouslyFormattedCitation":"(Muh.Ferial Ferniawan, Andi Kusumawati, 2024)"},"properties":{"noteIndex":0},"schema":"https://github.com/citation-style-language/schema/raw/master/csl-citation.json"}</w:instrText>
      </w:r>
      <w:r w:rsidR="00DC72A0" w:rsidRPr="00D71C6A">
        <w:fldChar w:fldCharType="separate"/>
      </w:r>
      <w:r w:rsidR="00DC72A0" w:rsidRPr="00D71C6A">
        <w:t>Ferniawan et al., (2024)</w:t>
      </w:r>
      <w:r w:rsidR="00DC72A0" w:rsidRPr="00D71C6A">
        <w:fldChar w:fldCharType="end"/>
      </w:r>
      <w:r w:rsidR="005A52F7" w:rsidRPr="00D71C6A">
        <w:t>.</w:t>
      </w:r>
    </w:p>
    <w:p w14:paraId="7361ADDA" w14:textId="77777777" w:rsidR="005A52F7" w:rsidRPr="00D71C6A" w:rsidRDefault="005A52F7" w:rsidP="00286187">
      <w:r w:rsidRPr="00D71C6A">
        <w:t>Effect of Debt to Equity Ratio (DER) on Stock Price</w:t>
      </w:r>
    </w:p>
    <w:p w14:paraId="0245E65C" w14:textId="52980DB3" w:rsidR="005A52F7" w:rsidRPr="00D71C6A" w:rsidRDefault="00286187" w:rsidP="00286187">
      <w:r>
        <w:tab/>
      </w:r>
      <w:r w:rsidR="005A52F7" w:rsidRPr="00D71C6A">
        <w:t xml:space="preserve">Notably, the Debt to Equity Ratio (DER) exhibits a significant and positive effect on stock price. This result challenges the conventional wisdom that higher debt always correlates with higher risk and lower valuation. In the specific context of the Indonesian palm oil subsector, investors appear to interpret a moderate, well-managed level of debt (leverage) as an indication of efficient capital structure optimization. The market rewards companies that effectively utilize debt to finance profitable expansions or take advantage of the </w:t>
      </w:r>
      <w:r w:rsidR="005A52F7" w:rsidRPr="00D71C6A">
        <w:rPr>
          <w:i/>
          <w:iCs/>
        </w:rPr>
        <w:t>tax shield</w:t>
      </w:r>
      <w:r w:rsidR="005A52F7" w:rsidRPr="00D71C6A">
        <w:t xml:space="preserve"> effect, signaling high growth potential and managerial confidence. This finding is consistent with recent studies by </w:t>
      </w:r>
      <w:r w:rsidR="00DC72A0" w:rsidRPr="00D71C6A">
        <w:fldChar w:fldCharType="begin" w:fldLock="1"/>
      </w:r>
      <w:r w:rsidR="003A4F73" w:rsidRPr="00D71C6A">
        <w:instrText>ADDIN CSL_CITATION {"citationItems":[{"id":"ITEM-1","itemData":{"DOI":"10.52362/jisamar.v9i1.1734","author":[{"dropping-particle":"","family":"Senjaya","given":"Eka","non-dropping-particle":"","parse-names":false,"suffix":""},{"dropping-particle":"","family":"Sumawidjaja","given":"Riyandi Nur","non-dropping-particle":"","parse-names":false,"suffix":""}],"id":"ITEM-1","issue":"1","issued":{"date-parts":[["2025"]]},"page":"252-263","title":"Pengaruh Debt To Equity Ratio ( DER ), Return On Assets ( ROA ) dan Return On Equity ( ROE ) terhadap harga saham pada perusahaan perbankan di Bursa Efek Indonesia periode 2016-2023 Harga Saham","type":"article-journal","volume":"9"},"uris":["http://www.mendeley.com/documents/?uuid=b560e8a5-0592-43f4-86fb-36d23bd3c246"]}],"mendeley":{"formattedCitation":"(Senjaya &amp; Sumawidjaja, 2025)","manualFormatting":"Senjaya  (2025)","plainTextFormattedCitation":"(Senjaya &amp; Sumawidjaja, 2025)","previouslyFormattedCitation":"(Senjaya &amp; Sumawidjaja, 2025)"},"properties":{"noteIndex":0},"schema":"https://github.com/citation-style-language/schema/raw/master/csl-citation.json"}</w:instrText>
      </w:r>
      <w:r w:rsidR="00DC72A0" w:rsidRPr="00D71C6A">
        <w:fldChar w:fldCharType="separate"/>
      </w:r>
      <w:r w:rsidR="00DC72A0" w:rsidRPr="00D71C6A">
        <w:t>Senjaya  (2025)</w:t>
      </w:r>
      <w:r w:rsidR="00DC72A0" w:rsidRPr="00D71C6A">
        <w:fldChar w:fldCharType="end"/>
      </w:r>
      <w:r w:rsidR="00DC72A0" w:rsidRPr="00D71C6A">
        <w:t xml:space="preserve"> </w:t>
      </w:r>
      <w:r w:rsidR="005A52F7" w:rsidRPr="00D71C6A">
        <w:t>and</w:t>
      </w:r>
      <w:r w:rsidR="003F3E27" w:rsidRPr="00D71C6A">
        <w:t xml:space="preserve"> </w:t>
      </w:r>
      <w:r w:rsidR="00DC72A0" w:rsidRPr="00D71C6A">
        <w:fldChar w:fldCharType="begin" w:fldLock="1"/>
      </w:r>
      <w:r w:rsidR="005A52F7" w:rsidRPr="00D71C6A">
        <w:instrText>ADDIN CSL_CITATION {"citationItems":[{"id":"ITEM-1","itemData":{"author":[{"dropping-particle":"","family":"Saefudin","given":"Asep","non-dropping-particle":"","parse-names":false,"suffix":""},{"dropping-particle":"","family":"Sudrajat2","given":"Anton","non-dropping-particle":"","parse-names":false,"suffix":""}],"id":"ITEM-1","issue":"5","issued":{"date-parts":[["2024"]]},"page":"381-395","title":"p-ISSN: 2774-6291 e-ISSN: 2774-6534 Available online at http://cerdika.publikasiindonesia.id/index.php/cerdika/index","type":"article-journal","volume":"4"},"uris":["http://www.mendeley.com/documents/?uuid=ab80c3a3-a1f1-4235-9d57-f5e1e6df2de6"]}],"mendeley":{"formattedCitation":"(Saefudin &amp; Sudrajat2, 2024)","manualFormatting":"Saefudin (2024)","plainTextFormattedCitation":"(Saefudin &amp; Sudrajat2, 2024)","previouslyFormattedCitation":"(Saefudin &amp; Sudrajat2, 2024)"},"properties":{"noteIndex":0},"schema":"https://github.com/citation-style-language/schema/raw/master/csl-citation.json"}</w:instrText>
      </w:r>
      <w:r w:rsidR="00DC72A0" w:rsidRPr="00D71C6A">
        <w:fldChar w:fldCharType="separate"/>
      </w:r>
      <w:r w:rsidR="00DC72A0" w:rsidRPr="00D71C6A">
        <w:t>Saefudin (2024)</w:t>
      </w:r>
      <w:r w:rsidR="00DC72A0" w:rsidRPr="00D71C6A">
        <w:fldChar w:fldCharType="end"/>
      </w:r>
      <w:r w:rsidR="003F3E27" w:rsidRPr="00D71C6A">
        <w:t>.</w:t>
      </w:r>
    </w:p>
    <w:p w14:paraId="72112B45" w14:textId="77777777" w:rsidR="005A52F7" w:rsidRPr="00D71C6A" w:rsidRDefault="005A52F7" w:rsidP="00286187">
      <w:r w:rsidRPr="00D71C6A">
        <w:t>The Simultaneous Effect of Fundamental Ratios on Stock Price</w:t>
      </w:r>
    </w:p>
    <w:p w14:paraId="571ABC94" w14:textId="02C8B048" w:rsidR="003D3377" w:rsidRPr="00D71C6A" w:rsidRDefault="00286187" w:rsidP="00286187">
      <w:r>
        <w:tab/>
      </w:r>
      <w:r w:rsidR="005A52F7" w:rsidRPr="00D71C6A">
        <w:t>The simultaneous test (F-test) confirms that the combination of ROA, ROE, NPM, EPS, and DER collectively exerts a significant influence on the stock price. This outcome underscores the fact that while individual impacts vary (as seen with ROA), the overall set of financial signals derived from these fundamental ratios is highly relevant and collectively crucial for investors</w:t>
      </w:r>
      <w:r>
        <w:t>’</w:t>
      </w:r>
      <w:r w:rsidR="005A52F7" w:rsidRPr="00D71C6A">
        <w:t xml:space="preserve"> </w:t>
      </w:r>
      <w:r w:rsidR="005A52F7" w:rsidRPr="00D71C6A">
        <w:lastRenderedPageBreak/>
        <w:t>decision-making processes within the Indonesian palm oil market.</w:t>
      </w:r>
      <w:r w:rsidR="003F3E27" w:rsidRPr="00D71C6A">
        <w:t xml:space="preserve">Hasil uji simultan (uji F) menunjukkan bahwa seluruh variabel independen berpengaruh signifikan terhadap harga saham. </w:t>
      </w:r>
    </w:p>
    <w:p w14:paraId="5143E1EF" w14:textId="77777777" w:rsidR="00286187" w:rsidRDefault="00E71999" w:rsidP="00286187">
      <w:r w:rsidRPr="00D71C6A">
        <w:t xml:space="preserve"> </w:t>
      </w:r>
    </w:p>
    <w:p w14:paraId="1A757DBE" w14:textId="77777777" w:rsidR="00286187" w:rsidRDefault="00286187" w:rsidP="00286187"/>
    <w:p w14:paraId="277EBAEA" w14:textId="681F7918" w:rsidR="00EB2E5C" w:rsidRPr="00286187" w:rsidRDefault="009C7AA2" w:rsidP="00286187">
      <w:pPr>
        <w:rPr>
          <w:b/>
          <w:bCs/>
        </w:rPr>
      </w:pPr>
      <w:r w:rsidRPr="00286187">
        <w:rPr>
          <w:b/>
          <w:bCs/>
        </w:rPr>
        <w:t>Conclusion</w:t>
      </w:r>
    </w:p>
    <w:p w14:paraId="2CBC1DCB" w14:textId="10D8A375" w:rsidR="005A52F7" w:rsidRPr="00D71C6A" w:rsidRDefault="005A52F7" w:rsidP="00D71C6A">
      <w:pPr>
        <w:contextualSpacing/>
        <w:rPr>
          <w:rFonts w:cs="Times New Roman"/>
          <w:b/>
          <w:bCs/>
          <w:szCs w:val="20"/>
        </w:rPr>
      </w:pPr>
      <w:r w:rsidRPr="00D71C6A">
        <w:rPr>
          <w:rFonts w:cs="Times New Roman"/>
          <w:b/>
          <w:bCs/>
          <w:szCs w:val="20"/>
        </w:rPr>
        <w:t>Key Findings and Theoretical Implications</w:t>
      </w:r>
    </w:p>
    <w:p w14:paraId="47CFBC61" w14:textId="36B596EB" w:rsidR="005A52F7" w:rsidRPr="00D71C6A" w:rsidRDefault="00286187" w:rsidP="00286187">
      <w:r>
        <w:tab/>
      </w:r>
      <w:r w:rsidR="005A52F7" w:rsidRPr="00D71C6A">
        <w:t>This research concludes that the fundamental financial factors of Indonesian palm oil companies play a critical role in explaining stock price movements during the 2021–2023 period, though the market</w:t>
      </w:r>
      <w:r>
        <w:t>’</w:t>
      </w:r>
      <w:r w:rsidR="005A52F7" w:rsidRPr="00D71C6A">
        <w:t>s response is nuanced:</w:t>
      </w:r>
    </w:p>
    <w:p w14:paraId="077AA198" w14:textId="5D055715" w:rsidR="005A52F7" w:rsidRPr="00D71C6A" w:rsidRDefault="00286187" w:rsidP="00286187">
      <w:r>
        <w:tab/>
      </w:r>
      <w:r w:rsidR="005A52F7" w:rsidRPr="00D71C6A">
        <w:t>EPS, ROE, NPM, and DER were found to have a significant positive effect. This highlights that investors prioritize metrics directly linked to shareholder returns (EPS), profitability (ROE, NPM), and optimized financial leverage (DER). EPS stands out as the single most dominant predictor.</w:t>
      </w:r>
    </w:p>
    <w:p w14:paraId="0695FB38" w14:textId="7063978A" w:rsidR="005A52F7" w:rsidRPr="00D71C6A" w:rsidRDefault="00286187" w:rsidP="00286187">
      <w:r>
        <w:tab/>
      </w:r>
      <w:r w:rsidR="005A52F7" w:rsidRPr="00D71C6A">
        <w:t>ROA was found to have a significant negative effect. This anomaly suggests that in this highly cyclical sector, investors are cautious about metrics of asset efficiency, potentially discounting profits viewed as unsustainable or exposed to high external risk (e.g., ESG issues).</w:t>
      </w:r>
    </w:p>
    <w:p w14:paraId="42D35342" w14:textId="37B988E3" w:rsidR="005A52F7" w:rsidRPr="00D71C6A" w:rsidRDefault="00286187" w:rsidP="00286187">
      <w:r>
        <w:tab/>
      </w:r>
      <w:r w:rsidR="005A52F7" w:rsidRPr="00D71C6A">
        <w:t>The findings generally support the Signaling Theory, emphasizing that investors value transparent and strong financial information. However, the differentiated response reveals that the market selectively weights these signals, prioritizing direct profitability over asset efficiency in this specific, high-risk commodity environment.</w:t>
      </w:r>
    </w:p>
    <w:p w14:paraId="402DE27E" w14:textId="77777777" w:rsidR="005A52F7" w:rsidRPr="00D71C6A" w:rsidRDefault="005A52F7" w:rsidP="00D71C6A">
      <w:pPr>
        <w:contextualSpacing/>
        <w:rPr>
          <w:rFonts w:cs="Times New Roman"/>
          <w:szCs w:val="20"/>
        </w:rPr>
      </w:pPr>
      <w:r w:rsidRPr="00D71C6A">
        <w:rPr>
          <w:rFonts w:cs="Times New Roman"/>
          <w:szCs w:val="20"/>
        </w:rPr>
        <w:t>Practical Implications and Future Research</w:t>
      </w:r>
    </w:p>
    <w:p w14:paraId="3B56DB9B" w14:textId="63C53AC3" w:rsidR="005A52F7" w:rsidRPr="00D71C6A" w:rsidRDefault="00286187" w:rsidP="00286187">
      <w:r>
        <w:tab/>
      </w:r>
      <w:r w:rsidR="005A52F7" w:rsidRPr="00D71C6A">
        <w:t>The practical implication for palm oil companies is clear: enhancing stock appeal requires strategic focus on maximizing EPS and ROE, alongside diligent management of the NPM and strategic optimization of the DER to signal controlled growth and efficient capital structure. Future research should substantially enrich the analytical model by incorporating external factors that directly impact this sector. We recommend including:</w:t>
      </w:r>
    </w:p>
    <w:p w14:paraId="0E33AF5D" w14:textId="3E618CCE" w:rsidR="005A52F7" w:rsidRPr="00D71C6A" w:rsidRDefault="00286187" w:rsidP="00286187">
      <w:r>
        <w:tab/>
      </w:r>
      <w:r w:rsidR="005A52F7" w:rsidRPr="00D71C6A">
        <w:t>Non-Financial Factors: Integrating ESG scores and CPO price volatility indices to capture the market</w:t>
      </w:r>
      <w:r>
        <w:t>’</w:t>
      </w:r>
      <w:r w:rsidR="005A52F7" w:rsidRPr="00D71C6A">
        <w:t>s response to sustainability risks and external commodity pressures.</w:t>
      </w:r>
    </w:p>
    <w:p w14:paraId="6FDB4565" w14:textId="23F92932" w:rsidR="005A52F7" w:rsidRPr="00D71C6A" w:rsidRDefault="00286187" w:rsidP="00286187">
      <w:r>
        <w:tab/>
      </w:r>
      <w:r w:rsidR="005A52F7" w:rsidRPr="00D71C6A">
        <w:t>Macroeconomic Variables: Analyzing the influence of macroeconomic factors such as inflation, interest rates, and exchange rates, which are critical determinants of profitability and investment behavior in commodity-exporting economies.</w:t>
      </w:r>
    </w:p>
    <w:p w14:paraId="68EFB22A" w14:textId="77777777" w:rsidR="00286187" w:rsidRDefault="00286187" w:rsidP="00D71C6A">
      <w:pPr>
        <w:contextualSpacing/>
        <w:rPr>
          <w:rFonts w:cs="Times New Roman"/>
          <w:b/>
          <w:bCs/>
          <w:szCs w:val="20"/>
        </w:rPr>
      </w:pPr>
    </w:p>
    <w:p w14:paraId="09616B92" w14:textId="3F638B9C" w:rsidR="007D358F" w:rsidRPr="00D71C6A" w:rsidRDefault="002A19BE" w:rsidP="00D71C6A">
      <w:pPr>
        <w:contextualSpacing/>
        <w:rPr>
          <w:rFonts w:cs="Times New Roman"/>
          <w:b/>
          <w:bCs/>
          <w:szCs w:val="20"/>
        </w:rPr>
      </w:pPr>
      <w:r w:rsidRPr="00D71C6A">
        <w:rPr>
          <w:rFonts w:cs="Times New Roman"/>
          <w:b/>
          <w:bCs/>
          <w:szCs w:val="20"/>
        </w:rPr>
        <w:t>References</w:t>
      </w:r>
    </w:p>
    <w:p w14:paraId="3B036529" w14:textId="76F74FC4" w:rsidR="002A19BE" w:rsidRPr="00D71C6A" w:rsidRDefault="00884186" w:rsidP="00D71C6A">
      <w:pPr>
        <w:widowControl w:val="0"/>
        <w:autoSpaceDE w:val="0"/>
        <w:autoSpaceDN w:val="0"/>
        <w:adjustRightInd w:val="0"/>
        <w:ind w:left="480" w:hanging="480"/>
        <w:rPr>
          <w:rFonts w:cs="Times New Roman"/>
          <w:kern w:val="0"/>
          <w:szCs w:val="20"/>
        </w:rPr>
      </w:pPr>
      <w:r w:rsidRPr="00D71C6A">
        <w:rPr>
          <w:rFonts w:cs="Times New Roman"/>
          <w:b/>
          <w:bCs/>
          <w:szCs w:val="20"/>
        </w:rPr>
        <w:fldChar w:fldCharType="begin" w:fldLock="1"/>
      </w:r>
      <w:r w:rsidRPr="00D71C6A">
        <w:rPr>
          <w:rFonts w:cs="Times New Roman"/>
          <w:b/>
          <w:bCs/>
          <w:szCs w:val="20"/>
        </w:rPr>
        <w:instrText xml:space="preserve">ADDIN Mendeley Bibliography CSL_BIBLIOGRAPHY </w:instrText>
      </w:r>
      <w:r w:rsidRPr="00D71C6A">
        <w:rPr>
          <w:rFonts w:cs="Times New Roman"/>
          <w:b/>
          <w:bCs/>
          <w:szCs w:val="20"/>
        </w:rPr>
        <w:fldChar w:fldCharType="separate"/>
      </w:r>
      <w:r w:rsidR="002A19BE" w:rsidRPr="00D71C6A">
        <w:rPr>
          <w:rFonts w:cs="Times New Roman"/>
          <w:kern w:val="0"/>
          <w:szCs w:val="20"/>
        </w:rPr>
        <w:t xml:space="preserve">Amelia, G. (2023). Pengaruh Net Profit Margin (NPM) dan Price Earning Ratio (PER) Terhadap Return Saham. </w:t>
      </w:r>
      <w:r w:rsidR="002A19BE" w:rsidRPr="00D71C6A">
        <w:rPr>
          <w:rFonts w:cs="Times New Roman"/>
          <w:i/>
          <w:iCs/>
          <w:kern w:val="0"/>
          <w:szCs w:val="20"/>
        </w:rPr>
        <w:t>Jurnal Akuntansi</w:t>
      </w:r>
      <w:r w:rsidR="002A19BE" w:rsidRPr="00D71C6A">
        <w:rPr>
          <w:rFonts w:cs="Times New Roman"/>
          <w:kern w:val="0"/>
          <w:szCs w:val="20"/>
        </w:rPr>
        <w:t xml:space="preserve">, </w:t>
      </w:r>
      <w:r w:rsidR="002A19BE" w:rsidRPr="00D71C6A">
        <w:rPr>
          <w:rFonts w:cs="Times New Roman"/>
          <w:i/>
          <w:iCs/>
          <w:kern w:val="0"/>
          <w:szCs w:val="20"/>
        </w:rPr>
        <w:t>2</w:t>
      </w:r>
      <w:r w:rsidR="002A19BE" w:rsidRPr="00D71C6A">
        <w:rPr>
          <w:rFonts w:cs="Times New Roman"/>
          <w:kern w:val="0"/>
          <w:szCs w:val="20"/>
        </w:rPr>
        <w:t>(4), 1–20. https://elib.unikom.ac.id/files/disk1/705/jbptunikompp-gdl-rindilesta-35219-9-unikom_r-l.pdf</w:t>
      </w:r>
    </w:p>
    <w:p w14:paraId="0C4C9D14"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Ayulina Oktaviranti, &amp; Muhammad Iqbal Alamsyah. (2023). Literasi Keuangan, Persepsi UMKM terhadap Kualitas Laporan Keuangan dengan Penerapan SAK EMKM. </w:t>
      </w:r>
      <w:r w:rsidRPr="00D71C6A">
        <w:rPr>
          <w:rFonts w:cs="Times New Roman"/>
          <w:i/>
          <w:iCs/>
          <w:kern w:val="0"/>
          <w:szCs w:val="20"/>
        </w:rPr>
        <w:t>Jurnal Penelitian Ekonomi Akuntansi (JENSI)</w:t>
      </w:r>
      <w:r w:rsidRPr="00D71C6A">
        <w:rPr>
          <w:rFonts w:cs="Times New Roman"/>
          <w:kern w:val="0"/>
          <w:szCs w:val="20"/>
        </w:rPr>
        <w:t xml:space="preserve">, </w:t>
      </w:r>
      <w:r w:rsidRPr="00D71C6A">
        <w:rPr>
          <w:rFonts w:cs="Times New Roman"/>
          <w:i/>
          <w:iCs/>
          <w:kern w:val="0"/>
          <w:szCs w:val="20"/>
        </w:rPr>
        <w:t>7</w:t>
      </w:r>
      <w:r w:rsidRPr="00D71C6A">
        <w:rPr>
          <w:rFonts w:cs="Times New Roman"/>
          <w:kern w:val="0"/>
          <w:szCs w:val="20"/>
        </w:rPr>
        <w:t>(1), 133–143. https://doi.org/10.33059/jensi.v7i1.7659</w:t>
      </w:r>
    </w:p>
    <w:p w14:paraId="7232D12B"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Brigham, E. F., &amp; Houston, J. F. (n.d.). </w:t>
      </w:r>
      <w:r w:rsidRPr="00D71C6A">
        <w:rPr>
          <w:rFonts w:cs="Times New Roman"/>
          <w:i/>
          <w:iCs/>
          <w:kern w:val="0"/>
          <w:szCs w:val="20"/>
        </w:rPr>
        <w:t>Dasar-Dasar Manajemen Keuangan</w:t>
      </w:r>
      <w:r w:rsidRPr="00D71C6A">
        <w:rPr>
          <w:rFonts w:cs="Times New Roman"/>
          <w:kern w:val="0"/>
          <w:szCs w:val="20"/>
        </w:rPr>
        <w:t>. Salemba Empat.</w:t>
      </w:r>
    </w:p>
    <w:p w14:paraId="228F54B6"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Devitra, J. (2025). </w:t>
      </w:r>
      <w:r w:rsidRPr="00D71C6A">
        <w:rPr>
          <w:rFonts w:cs="Times New Roman"/>
          <w:i/>
          <w:iCs/>
          <w:kern w:val="0"/>
          <w:szCs w:val="20"/>
        </w:rPr>
        <w:t>Influence Return on Equity ( ROE ), and Net Profit Margin ( NPM ) Against Return Shares of Food and Beverage Sub-Sector Companies on the Indonesian Stock Exchange Period 2022-2023</w:t>
      </w:r>
      <w:r w:rsidRPr="00D71C6A">
        <w:rPr>
          <w:rFonts w:cs="Times New Roman"/>
          <w:kern w:val="0"/>
          <w:szCs w:val="20"/>
        </w:rPr>
        <w:t xml:space="preserve">. </w:t>
      </w:r>
      <w:r w:rsidRPr="00D71C6A">
        <w:rPr>
          <w:rFonts w:cs="Times New Roman"/>
          <w:i/>
          <w:iCs/>
          <w:kern w:val="0"/>
          <w:szCs w:val="20"/>
        </w:rPr>
        <w:t>01</w:t>
      </w:r>
      <w:r w:rsidRPr="00D71C6A">
        <w:rPr>
          <w:rFonts w:cs="Times New Roman"/>
          <w:kern w:val="0"/>
          <w:szCs w:val="20"/>
        </w:rPr>
        <w:t>(10).</w:t>
      </w:r>
    </w:p>
    <w:p w14:paraId="6FB187C8"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Fauji, A., &amp; Karniawati, P. (2021). Pengaruh Return On Asset ( ROA ) dan Loan to Deposit Ratio ( LDR ) Terhadap Harga Saham Pada Subsektor Perbankan Bumn Yang Terdaftar Di Bursa Efek. </w:t>
      </w:r>
      <w:r w:rsidRPr="00D71C6A">
        <w:rPr>
          <w:rFonts w:cs="Times New Roman"/>
          <w:i/>
          <w:iCs/>
          <w:kern w:val="0"/>
          <w:szCs w:val="20"/>
        </w:rPr>
        <w:t>Indonesian Journal of Economy, Business, Entrepreneuship and Finance</w:t>
      </w:r>
      <w:r w:rsidRPr="00D71C6A">
        <w:rPr>
          <w:rFonts w:cs="Times New Roman"/>
          <w:kern w:val="0"/>
          <w:szCs w:val="20"/>
        </w:rPr>
        <w:t xml:space="preserve">, </w:t>
      </w:r>
      <w:r w:rsidRPr="00D71C6A">
        <w:rPr>
          <w:rFonts w:cs="Times New Roman"/>
          <w:i/>
          <w:iCs/>
          <w:kern w:val="0"/>
          <w:szCs w:val="20"/>
        </w:rPr>
        <w:t>1</w:t>
      </w:r>
      <w:r w:rsidRPr="00D71C6A">
        <w:rPr>
          <w:rFonts w:cs="Times New Roman"/>
          <w:kern w:val="0"/>
          <w:szCs w:val="20"/>
        </w:rPr>
        <w:t>(1), 71–84.</w:t>
      </w:r>
    </w:p>
    <w:p w14:paraId="08B2F04E"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Fitriano, A., &amp; Herfianti, L. (n.d.). Pengaruh Net Profit Margin (NPM) terhadap nilai pasar saham. </w:t>
      </w:r>
      <w:r w:rsidRPr="00D71C6A">
        <w:rPr>
          <w:rFonts w:cs="Times New Roman"/>
          <w:i/>
          <w:iCs/>
          <w:kern w:val="0"/>
          <w:szCs w:val="20"/>
        </w:rPr>
        <w:t>Jurnal Manajemen Keuangan</w:t>
      </w:r>
      <w:r w:rsidRPr="00D71C6A">
        <w:rPr>
          <w:rFonts w:cs="Times New Roman"/>
          <w:kern w:val="0"/>
          <w:szCs w:val="20"/>
        </w:rPr>
        <w:t xml:space="preserve">, </w:t>
      </w:r>
      <w:r w:rsidRPr="00D71C6A">
        <w:rPr>
          <w:rFonts w:cs="Times New Roman"/>
          <w:i/>
          <w:iCs/>
          <w:kern w:val="0"/>
          <w:szCs w:val="20"/>
        </w:rPr>
        <w:t>12</w:t>
      </w:r>
      <w:r w:rsidRPr="00D71C6A">
        <w:rPr>
          <w:rFonts w:cs="Times New Roman"/>
          <w:kern w:val="0"/>
          <w:szCs w:val="20"/>
        </w:rPr>
        <w:t>(1), 45–56.</w:t>
      </w:r>
    </w:p>
    <w:p w14:paraId="53B9A27F"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Ghozali. (2021). </w:t>
      </w:r>
      <w:r w:rsidRPr="00D71C6A">
        <w:rPr>
          <w:rFonts w:cs="Times New Roman"/>
          <w:i/>
          <w:iCs/>
          <w:kern w:val="0"/>
          <w:szCs w:val="20"/>
        </w:rPr>
        <w:t>Aplikasi Analisis Multivariate Dengan Program IBM SPSS 26.</w:t>
      </w:r>
    </w:p>
    <w:p w14:paraId="139BCAE4"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Ginting, C., Siregar, Q. R., &amp; Price, S. (2024). </w:t>
      </w:r>
      <w:r w:rsidRPr="00D71C6A">
        <w:rPr>
          <w:rFonts w:cs="Times New Roman"/>
          <w:i/>
          <w:iCs/>
          <w:kern w:val="0"/>
          <w:szCs w:val="20"/>
        </w:rPr>
        <w:t>Bursa : Jurnal Ekonomi dan Bisnis Pengaruh Net Profit Margin Dan Earning Per Share Terhadap Harga</w:t>
      </w:r>
      <w:r w:rsidRPr="00D71C6A">
        <w:rPr>
          <w:rFonts w:cs="Times New Roman"/>
          <w:kern w:val="0"/>
          <w:szCs w:val="20"/>
        </w:rPr>
        <w:t xml:space="preserve">. </w:t>
      </w:r>
      <w:r w:rsidRPr="00D71C6A">
        <w:rPr>
          <w:rFonts w:cs="Times New Roman"/>
          <w:i/>
          <w:iCs/>
          <w:kern w:val="0"/>
          <w:szCs w:val="20"/>
        </w:rPr>
        <w:t>3</w:t>
      </w:r>
      <w:r w:rsidRPr="00D71C6A">
        <w:rPr>
          <w:rFonts w:cs="Times New Roman"/>
          <w:kern w:val="0"/>
          <w:szCs w:val="20"/>
        </w:rPr>
        <w:t>(3).</w:t>
      </w:r>
    </w:p>
    <w:p w14:paraId="5AC33DC1"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Ilyas, A. A., Haeruddin, M. I. M., Anwar, Sahabuddin, R., &amp; Musa, M. I. (2023). the Effect of Return on Assets, Return on Equity, and Net Profit Margin on Stock Prices in Food and Beverage Companies Listed on the Indonesia Stock Exchange for the 2019-2021 Period. </w:t>
      </w:r>
      <w:r w:rsidRPr="00D71C6A">
        <w:rPr>
          <w:rFonts w:cs="Times New Roman"/>
          <w:i/>
          <w:iCs/>
          <w:kern w:val="0"/>
          <w:szCs w:val="20"/>
        </w:rPr>
        <w:t>Marginal Journal of Management, Accounting, General Finance and International Economic Issues</w:t>
      </w:r>
      <w:r w:rsidRPr="00D71C6A">
        <w:rPr>
          <w:rFonts w:cs="Times New Roman"/>
          <w:kern w:val="0"/>
          <w:szCs w:val="20"/>
        </w:rPr>
        <w:t xml:space="preserve">, </w:t>
      </w:r>
      <w:r w:rsidRPr="00D71C6A">
        <w:rPr>
          <w:rFonts w:cs="Times New Roman"/>
          <w:i/>
          <w:iCs/>
          <w:kern w:val="0"/>
          <w:szCs w:val="20"/>
        </w:rPr>
        <w:t>2</w:t>
      </w:r>
      <w:r w:rsidRPr="00D71C6A">
        <w:rPr>
          <w:rFonts w:cs="Times New Roman"/>
          <w:kern w:val="0"/>
          <w:szCs w:val="20"/>
        </w:rPr>
        <w:t>(3), 711–718. https://doi.org/10.55047/marginal.v2i3.704</w:t>
      </w:r>
    </w:p>
    <w:p w14:paraId="0F250668"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Kasmir. (n.d.). </w:t>
      </w:r>
      <w:r w:rsidRPr="00D71C6A">
        <w:rPr>
          <w:rFonts w:cs="Times New Roman"/>
          <w:i/>
          <w:iCs/>
          <w:kern w:val="0"/>
          <w:szCs w:val="20"/>
        </w:rPr>
        <w:t>Analisis Laporan Keuangan</w:t>
      </w:r>
      <w:r w:rsidRPr="00D71C6A">
        <w:rPr>
          <w:rFonts w:cs="Times New Roman"/>
          <w:kern w:val="0"/>
          <w:szCs w:val="20"/>
        </w:rPr>
        <w:t>. Rajawali Pers.</w:t>
      </w:r>
    </w:p>
    <w:p w14:paraId="1A738FD6"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lastRenderedPageBreak/>
        <w:t xml:space="preserve">Mileta, F., Louis, J. A., Bahtiar, N. M., Manurung, E. T., Akuntansi, J., Parahyangan, U. K., Akuntansi, J., Parahyangan, U. K., Akuntansi, J., Parahyangan, U. K., Akuntansi, J., &amp; Parahyangan, U. K. (2024). </w:t>
      </w:r>
      <w:r w:rsidRPr="00D71C6A">
        <w:rPr>
          <w:rFonts w:cs="Times New Roman"/>
          <w:i/>
          <w:iCs/>
          <w:kern w:val="0"/>
          <w:szCs w:val="20"/>
        </w:rPr>
        <w:t>Pengaruh Return on Equity ( ROE ) Terhadap Harga Saham PT Indofood Sukses Makmur TBK</w:t>
      </w:r>
      <w:r w:rsidRPr="00D71C6A">
        <w:rPr>
          <w:rFonts w:cs="Times New Roman"/>
          <w:kern w:val="0"/>
          <w:szCs w:val="20"/>
        </w:rPr>
        <w:t xml:space="preserve">. </w:t>
      </w:r>
      <w:r w:rsidRPr="00D71C6A">
        <w:rPr>
          <w:rFonts w:cs="Times New Roman"/>
          <w:i/>
          <w:iCs/>
          <w:kern w:val="0"/>
          <w:szCs w:val="20"/>
        </w:rPr>
        <w:t>3</w:t>
      </w:r>
      <w:r w:rsidRPr="00D71C6A">
        <w:rPr>
          <w:rFonts w:cs="Times New Roman"/>
          <w:kern w:val="0"/>
          <w:szCs w:val="20"/>
        </w:rPr>
        <w:t>(2).</w:t>
      </w:r>
    </w:p>
    <w:p w14:paraId="5E61C63A"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Muh.Ferial Ferniawan, Andi Kusumawati, A. (2024). </w:t>
      </w:r>
      <w:r w:rsidRPr="00D71C6A">
        <w:rPr>
          <w:rFonts w:cs="Times New Roman"/>
          <w:i/>
          <w:iCs/>
          <w:kern w:val="0"/>
          <w:szCs w:val="20"/>
        </w:rPr>
        <w:t>The Influence of Earnings Per Share ( EPS ), Price Earnings Ratio ( PER ), Price to Book Value ( PBV ), and Debt Equity Ratio ( DER ) on the Stock Return</w:t>
      </w:r>
      <w:r w:rsidRPr="00D71C6A">
        <w:rPr>
          <w:rFonts w:cs="Times New Roman"/>
          <w:kern w:val="0"/>
          <w:szCs w:val="20"/>
        </w:rPr>
        <w:t xml:space="preserve">. </w:t>
      </w:r>
      <w:r w:rsidRPr="00D71C6A">
        <w:rPr>
          <w:rFonts w:cs="Times New Roman"/>
          <w:i/>
          <w:iCs/>
          <w:kern w:val="0"/>
          <w:szCs w:val="20"/>
        </w:rPr>
        <w:t>January</w:t>
      </w:r>
      <w:r w:rsidRPr="00D71C6A">
        <w:rPr>
          <w:rFonts w:cs="Times New Roman"/>
          <w:kern w:val="0"/>
          <w:szCs w:val="20"/>
        </w:rPr>
        <w:t>, 114–130. https://doi.org/10.26487/akrual.v17i01.32073</w:t>
      </w:r>
    </w:p>
    <w:p w14:paraId="67FE95D4"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Permatasari, N., Anwar, S., &amp; Santoso, R. (n.d.). Pengaruh Return On Asset (ROA) dan Return On Equity (ROE) terhadap harga saham. </w:t>
      </w:r>
      <w:r w:rsidRPr="00D71C6A">
        <w:rPr>
          <w:rFonts w:cs="Times New Roman"/>
          <w:i/>
          <w:iCs/>
          <w:kern w:val="0"/>
          <w:szCs w:val="20"/>
        </w:rPr>
        <w:t>Jurnal Ekonomi Dan Keuangan</w:t>
      </w:r>
      <w:r w:rsidRPr="00D71C6A">
        <w:rPr>
          <w:rFonts w:cs="Times New Roman"/>
          <w:kern w:val="0"/>
          <w:szCs w:val="20"/>
        </w:rPr>
        <w:t xml:space="preserve">, </w:t>
      </w:r>
      <w:r w:rsidRPr="00D71C6A">
        <w:rPr>
          <w:rFonts w:cs="Times New Roman"/>
          <w:i/>
          <w:iCs/>
          <w:kern w:val="0"/>
          <w:szCs w:val="20"/>
        </w:rPr>
        <w:t>14</w:t>
      </w:r>
      <w:r w:rsidRPr="00D71C6A">
        <w:rPr>
          <w:rFonts w:cs="Times New Roman"/>
          <w:kern w:val="0"/>
          <w:szCs w:val="20"/>
        </w:rPr>
        <w:t>(2), 123–135.</w:t>
      </w:r>
    </w:p>
    <w:p w14:paraId="2CC6E266"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Rinaldi, A., &amp; Kusuma, M. (2021). </w:t>
      </w:r>
      <w:r w:rsidRPr="00D71C6A">
        <w:rPr>
          <w:rFonts w:cs="Times New Roman"/>
          <w:i/>
          <w:iCs/>
          <w:kern w:val="0"/>
          <w:szCs w:val="20"/>
        </w:rPr>
        <w:t>Pengantar Pasar Modal dan Investasi</w:t>
      </w:r>
      <w:r w:rsidRPr="00D71C6A">
        <w:rPr>
          <w:rFonts w:cs="Times New Roman"/>
          <w:kern w:val="0"/>
          <w:szCs w:val="20"/>
        </w:rPr>
        <w:t>. Alfabeta.</w:t>
      </w:r>
    </w:p>
    <w:p w14:paraId="64E82A9C"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Rizkina, Z., Mahmudi, B., &amp; Khaerunnisa, E. (2023). </w:t>
      </w:r>
      <w:r w:rsidRPr="00D71C6A">
        <w:rPr>
          <w:rFonts w:cs="Times New Roman"/>
          <w:i/>
          <w:iCs/>
          <w:kern w:val="0"/>
          <w:szCs w:val="20"/>
        </w:rPr>
        <w:t>THE EFFECT OF EARNING PER SHARE ( EPS ) AND RETURN ON EQUITY ( ROE ) ON STOCK PRICES WITH INFLATION AS MODERATING VARIABLE ( Study on Financing institutions listed on the Indonesian Stock Exchange 2012- 2021 Period )</w:t>
      </w:r>
      <w:r w:rsidRPr="00D71C6A">
        <w:rPr>
          <w:rFonts w:cs="Times New Roman"/>
          <w:kern w:val="0"/>
          <w:szCs w:val="20"/>
        </w:rPr>
        <w:t xml:space="preserve">. </w:t>
      </w:r>
      <w:r w:rsidRPr="00D71C6A">
        <w:rPr>
          <w:rFonts w:cs="Times New Roman"/>
          <w:i/>
          <w:iCs/>
          <w:kern w:val="0"/>
          <w:szCs w:val="20"/>
        </w:rPr>
        <w:t>2</w:t>
      </w:r>
      <w:r w:rsidRPr="00D71C6A">
        <w:rPr>
          <w:rFonts w:cs="Times New Roman"/>
          <w:kern w:val="0"/>
          <w:szCs w:val="20"/>
        </w:rPr>
        <w:t>(4), 75–84.</w:t>
      </w:r>
    </w:p>
    <w:p w14:paraId="39B78E6B"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Roa, P., Dan, E. P. S., Harga, D. E. R. T., Dewi, N. S., &amp; Suwarno, A. E. (2022). </w:t>
      </w:r>
      <w:r w:rsidRPr="00D71C6A">
        <w:rPr>
          <w:rFonts w:cs="Times New Roman"/>
          <w:i/>
          <w:iCs/>
          <w:kern w:val="0"/>
          <w:szCs w:val="20"/>
        </w:rPr>
        <w:t>( Studi Empiris pada Perusahaan LQ45 yang Terdaftar di Bursa Efek Indonesia Tahun 2016-2020 )</w:t>
      </w:r>
      <w:r w:rsidRPr="00D71C6A">
        <w:rPr>
          <w:rFonts w:cs="Times New Roman"/>
          <w:kern w:val="0"/>
          <w:szCs w:val="20"/>
        </w:rPr>
        <w:t xml:space="preserve">. </w:t>
      </w:r>
      <w:r w:rsidRPr="00D71C6A">
        <w:rPr>
          <w:rFonts w:cs="Times New Roman"/>
          <w:i/>
          <w:iCs/>
          <w:kern w:val="0"/>
          <w:szCs w:val="20"/>
        </w:rPr>
        <w:t>1</w:t>
      </w:r>
      <w:r w:rsidRPr="00D71C6A">
        <w:rPr>
          <w:rFonts w:cs="Times New Roman"/>
          <w:kern w:val="0"/>
          <w:szCs w:val="20"/>
        </w:rPr>
        <w:t>, 472–482.</w:t>
      </w:r>
    </w:p>
    <w:p w14:paraId="51DF805A"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Ross, S. A., Westerfield, R. W., &amp; Jaffe, J. (2022). </w:t>
      </w:r>
      <w:r w:rsidRPr="00D71C6A">
        <w:rPr>
          <w:rFonts w:cs="Times New Roman"/>
          <w:i/>
          <w:iCs/>
          <w:kern w:val="0"/>
          <w:szCs w:val="20"/>
        </w:rPr>
        <w:t>Corporate Finance: Core Principles and Applications.</w:t>
      </w:r>
      <w:r w:rsidRPr="00D71C6A">
        <w:rPr>
          <w:rFonts w:cs="Times New Roman"/>
          <w:kern w:val="0"/>
          <w:szCs w:val="20"/>
        </w:rPr>
        <w:t xml:space="preserve"> McGraw-Hill Education.</w:t>
      </w:r>
    </w:p>
    <w:p w14:paraId="064BE29A"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Saefudin, A., &amp; Sudrajat2, A. (2024). </w:t>
      </w:r>
      <w:r w:rsidRPr="00D71C6A">
        <w:rPr>
          <w:rFonts w:cs="Times New Roman"/>
          <w:i/>
          <w:iCs/>
          <w:kern w:val="0"/>
          <w:szCs w:val="20"/>
        </w:rPr>
        <w:t>p-ISSN: 2774-6291 e-ISSN: 2774-6534 Available online at http://cerdika.publikasiindonesia.id/index.php/cerdika/index</w:t>
      </w:r>
      <w:r w:rsidRPr="00D71C6A">
        <w:rPr>
          <w:rFonts w:cs="Times New Roman"/>
          <w:kern w:val="0"/>
          <w:szCs w:val="20"/>
        </w:rPr>
        <w:t xml:space="preserve">. </w:t>
      </w:r>
      <w:r w:rsidRPr="00D71C6A">
        <w:rPr>
          <w:rFonts w:cs="Times New Roman"/>
          <w:i/>
          <w:iCs/>
          <w:kern w:val="0"/>
          <w:szCs w:val="20"/>
        </w:rPr>
        <w:t>4</w:t>
      </w:r>
      <w:r w:rsidRPr="00D71C6A">
        <w:rPr>
          <w:rFonts w:cs="Times New Roman"/>
          <w:kern w:val="0"/>
          <w:szCs w:val="20"/>
        </w:rPr>
        <w:t>(5), 381–395.</w:t>
      </w:r>
    </w:p>
    <w:p w14:paraId="2840E29F"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Sartono, A. (n.d.). </w:t>
      </w:r>
      <w:r w:rsidRPr="00D71C6A">
        <w:rPr>
          <w:rFonts w:cs="Times New Roman"/>
          <w:i/>
          <w:iCs/>
          <w:kern w:val="0"/>
          <w:szCs w:val="20"/>
        </w:rPr>
        <w:t>Keuangan</w:t>
      </w:r>
      <w:r w:rsidRPr="00D71C6A">
        <w:rPr>
          <w:rFonts w:cs="Times New Roman"/>
          <w:kern w:val="0"/>
          <w:szCs w:val="20"/>
        </w:rPr>
        <w:t>. BPFE.</w:t>
      </w:r>
    </w:p>
    <w:p w14:paraId="5C42BBD6"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Senjaya, E., &amp; Sumawidjaja, R. N. (2025). </w:t>
      </w:r>
      <w:r w:rsidRPr="00D71C6A">
        <w:rPr>
          <w:rFonts w:cs="Times New Roman"/>
          <w:i/>
          <w:iCs/>
          <w:kern w:val="0"/>
          <w:szCs w:val="20"/>
        </w:rPr>
        <w:t>Pengaruh Debt To Equity Ratio ( DER ), Return On Assets ( ROA ) dan Return On Equity ( ROE ) terhadap harga saham pada perusahaan perbankan di Bursa Efek Indonesia periode 2016-2023 Harga Saham</w:t>
      </w:r>
      <w:r w:rsidRPr="00D71C6A">
        <w:rPr>
          <w:rFonts w:cs="Times New Roman"/>
          <w:kern w:val="0"/>
          <w:szCs w:val="20"/>
        </w:rPr>
        <w:t xml:space="preserve">. </w:t>
      </w:r>
      <w:r w:rsidRPr="00D71C6A">
        <w:rPr>
          <w:rFonts w:cs="Times New Roman"/>
          <w:i/>
          <w:iCs/>
          <w:kern w:val="0"/>
          <w:szCs w:val="20"/>
        </w:rPr>
        <w:t>9</w:t>
      </w:r>
      <w:r w:rsidRPr="00D71C6A">
        <w:rPr>
          <w:rFonts w:cs="Times New Roman"/>
          <w:kern w:val="0"/>
          <w:szCs w:val="20"/>
        </w:rPr>
        <w:t>(1), 252–263. https://doi.org/10.52362/jisamar.v9i1.1734</w:t>
      </w:r>
    </w:p>
    <w:p w14:paraId="072CE4ED"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Sudjiman, A., &amp; Riyadi, B. (2023). </w:t>
      </w:r>
      <w:r w:rsidRPr="00D71C6A">
        <w:rPr>
          <w:rFonts w:cs="Times New Roman"/>
          <w:i/>
          <w:iCs/>
          <w:kern w:val="0"/>
          <w:szCs w:val="20"/>
        </w:rPr>
        <w:t>Analisis Fundamental dan Pasar Modal</w:t>
      </w:r>
      <w:r w:rsidRPr="00D71C6A">
        <w:rPr>
          <w:rFonts w:cs="Times New Roman"/>
          <w:kern w:val="0"/>
          <w:szCs w:val="20"/>
        </w:rPr>
        <w:t>. Mitra Media.</w:t>
      </w:r>
    </w:p>
    <w:p w14:paraId="605705F4"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Sugiyono. (2024). </w:t>
      </w:r>
      <w:r w:rsidRPr="00D71C6A">
        <w:rPr>
          <w:rFonts w:cs="Times New Roman"/>
          <w:i/>
          <w:iCs/>
          <w:kern w:val="0"/>
          <w:szCs w:val="20"/>
        </w:rPr>
        <w:t>Metode Penelitian Kuantitatif Kualitatif dan R&amp;D</w:t>
      </w:r>
      <w:r w:rsidRPr="00D71C6A">
        <w:rPr>
          <w:rFonts w:cs="Times New Roman"/>
          <w:kern w:val="0"/>
          <w:szCs w:val="20"/>
        </w:rPr>
        <w:t xml:space="preserve"> (Sutopo (ed.); Edisi kedu). Alfabeta.</w:t>
      </w:r>
    </w:p>
    <w:p w14:paraId="058C41C7"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Sukamulja, S. (n.d.). </w:t>
      </w:r>
      <w:r w:rsidRPr="00D71C6A">
        <w:rPr>
          <w:rFonts w:cs="Times New Roman"/>
          <w:i/>
          <w:iCs/>
          <w:kern w:val="0"/>
          <w:szCs w:val="20"/>
        </w:rPr>
        <w:t>Analisis Kinerja Keuangan Perusahaan</w:t>
      </w:r>
      <w:r w:rsidRPr="00D71C6A">
        <w:rPr>
          <w:rFonts w:cs="Times New Roman"/>
          <w:kern w:val="0"/>
          <w:szCs w:val="20"/>
        </w:rPr>
        <w:t>. Penerbit Ekonomi Nusantara.</w:t>
      </w:r>
    </w:p>
    <w:p w14:paraId="70C4247D"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Sunariyah. (n.d.). </w:t>
      </w:r>
      <w:r w:rsidRPr="00D71C6A">
        <w:rPr>
          <w:rFonts w:cs="Times New Roman"/>
          <w:i/>
          <w:iCs/>
          <w:kern w:val="0"/>
          <w:szCs w:val="20"/>
        </w:rPr>
        <w:t>Pengetahuan Pasar Modal</w:t>
      </w:r>
      <w:r w:rsidRPr="00D71C6A">
        <w:rPr>
          <w:rFonts w:cs="Times New Roman"/>
          <w:kern w:val="0"/>
          <w:szCs w:val="20"/>
        </w:rPr>
        <w:t>. Penerbit Alfa Beta.</w:t>
      </w:r>
    </w:p>
    <w:p w14:paraId="2FB8CE44"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Surya. (n.d.). </w:t>
      </w:r>
      <w:r w:rsidRPr="00D71C6A">
        <w:rPr>
          <w:rFonts w:cs="Times New Roman"/>
          <w:i/>
          <w:iCs/>
          <w:kern w:val="0"/>
          <w:szCs w:val="20"/>
        </w:rPr>
        <w:t>2021.Investasi dan Harga Saham</w:t>
      </w:r>
      <w:r w:rsidRPr="00D71C6A">
        <w:rPr>
          <w:rFonts w:cs="Times New Roman"/>
          <w:kern w:val="0"/>
          <w:szCs w:val="20"/>
        </w:rPr>
        <w:t>. Penerbit Ekonomi Nusantara.</w:t>
      </w:r>
    </w:p>
    <w:p w14:paraId="5FCDCE1C"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Tampubolon, S. E., Siallagan, H., Ekonomi, F., &amp; Hkbp, U. (2024). </w:t>
      </w:r>
      <w:r w:rsidRPr="00D71C6A">
        <w:rPr>
          <w:rFonts w:cs="Times New Roman"/>
          <w:i/>
          <w:iCs/>
          <w:kern w:val="0"/>
          <w:szCs w:val="20"/>
        </w:rPr>
        <w:t>Pengaruh ROA , DAR dan NPM Terhadap Harga Saham Perusahaan ( Studi Empiris pada Perusahaan Manufaktur Sub-Sektor Kosmetik dan Barang Keperluan Rumah Tangga yang terdaftar di Bursa Efek Indonesia ( BEI ) pada Tahun 2018-2022 )</w:t>
      </w:r>
      <w:r w:rsidRPr="00D71C6A">
        <w:rPr>
          <w:rFonts w:cs="Times New Roman"/>
          <w:kern w:val="0"/>
          <w:szCs w:val="20"/>
        </w:rPr>
        <w:t xml:space="preserve">. </w:t>
      </w:r>
      <w:r w:rsidRPr="00D71C6A">
        <w:rPr>
          <w:rFonts w:cs="Times New Roman"/>
          <w:i/>
          <w:iCs/>
          <w:kern w:val="0"/>
          <w:szCs w:val="20"/>
        </w:rPr>
        <w:t>5</w:t>
      </w:r>
      <w:r w:rsidRPr="00D71C6A">
        <w:rPr>
          <w:rFonts w:cs="Times New Roman"/>
          <w:kern w:val="0"/>
          <w:szCs w:val="20"/>
        </w:rPr>
        <w:t>(2), 642–661.</w:t>
      </w:r>
    </w:p>
    <w:p w14:paraId="7568E5FB"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Tannadi, B. (2020). </w:t>
      </w:r>
      <w:r w:rsidRPr="00D71C6A">
        <w:rPr>
          <w:rFonts w:cs="Times New Roman"/>
          <w:i/>
          <w:iCs/>
          <w:kern w:val="0"/>
          <w:szCs w:val="20"/>
        </w:rPr>
        <w:t>Ilmu Saham: Pengenalan Saham</w:t>
      </w:r>
      <w:r w:rsidRPr="00D71C6A">
        <w:rPr>
          <w:rFonts w:cs="Times New Roman"/>
          <w:kern w:val="0"/>
          <w:szCs w:val="20"/>
        </w:rPr>
        <w:t>. Elex Media Komputindo.</w:t>
      </w:r>
    </w:p>
    <w:p w14:paraId="544BB7E8"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Taubah, I. D., Roslina, N. Y., Damayanti, I., &amp; Tansar, I. A. (2024). </w:t>
      </w:r>
      <w:r w:rsidRPr="00D71C6A">
        <w:rPr>
          <w:rFonts w:cs="Times New Roman"/>
          <w:i/>
          <w:iCs/>
          <w:kern w:val="0"/>
          <w:szCs w:val="20"/>
        </w:rPr>
        <w:t>The Influence of Earning Per Share ( EPS ) and Price Earnings Ratio ( PER ) on Stock Prices in the Food and Beverage Sector on the Indonesian Stock Exchange ( BEI ) for the 2015-2019 Period</w:t>
      </w:r>
      <w:r w:rsidRPr="00D71C6A">
        <w:rPr>
          <w:rFonts w:cs="Times New Roman"/>
          <w:kern w:val="0"/>
          <w:szCs w:val="20"/>
        </w:rPr>
        <w:t xml:space="preserve">. </w:t>
      </w:r>
      <w:r w:rsidRPr="00D71C6A">
        <w:rPr>
          <w:rFonts w:cs="Times New Roman"/>
          <w:i/>
          <w:iCs/>
          <w:kern w:val="0"/>
          <w:szCs w:val="20"/>
        </w:rPr>
        <w:t>2</w:t>
      </w:r>
      <w:r w:rsidRPr="00D71C6A">
        <w:rPr>
          <w:rFonts w:cs="Times New Roman"/>
          <w:kern w:val="0"/>
          <w:szCs w:val="20"/>
        </w:rPr>
        <w:t>(1), 49–63.</w:t>
      </w:r>
    </w:p>
    <w:p w14:paraId="77DB2482" w14:textId="77777777" w:rsidR="002A19BE" w:rsidRPr="00D71C6A" w:rsidRDefault="002A19BE" w:rsidP="00D71C6A">
      <w:pPr>
        <w:widowControl w:val="0"/>
        <w:autoSpaceDE w:val="0"/>
        <w:autoSpaceDN w:val="0"/>
        <w:adjustRightInd w:val="0"/>
        <w:ind w:left="480" w:hanging="480"/>
        <w:rPr>
          <w:rFonts w:cs="Times New Roman"/>
          <w:kern w:val="0"/>
          <w:szCs w:val="20"/>
        </w:rPr>
      </w:pPr>
      <w:r w:rsidRPr="00D71C6A">
        <w:rPr>
          <w:rFonts w:cs="Times New Roman"/>
          <w:kern w:val="0"/>
          <w:szCs w:val="20"/>
        </w:rPr>
        <w:t xml:space="preserve">Veronika Dora Wesso, M., John EHJ. FoEh, &amp; Jhonni Sinaga. (2022). Analisis Pengaruh ROA, ROE, Dan DER Terhadap Return Saham (Literature Review Manajemen Keuangan Perusahaan). </w:t>
      </w:r>
      <w:r w:rsidRPr="00D71C6A">
        <w:rPr>
          <w:rFonts w:cs="Times New Roman"/>
          <w:i/>
          <w:iCs/>
          <w:kern w:val="0"/>
          <w:szCs w:val="20"/>
        </w:rPr>
        <w:t>Jurnal Ilmu Multidisplin</w:t>
      </w:r>
      <w:r w:rsidRPr="00D71C6A">
        <w:rPr>
          <w:rFonts w:cs="Times New Roman"/>
          <w:kern w:val="0"/>
          <w:szCs w:val="20"/>
        </w:rPr>
        <w:t xml:space="preserve">, </w:t>
      </w:r>
      <w:r w:rsidRPr="00D71C6A">
        <w:rPr>
          <w:rFonts w:cs="Times New Roman"/>
          <w:i/>
          <w:iCs/>
          <w:kern w:val="0"/>
          <w:szCs w:val="20"/>
        </w:rPr>
        <w:t>1</w:t>
      </w:r>
      <w:r w:rsidRPr="00D71C6A">
        <w:rPr>
          <w:rFonts w:cs="Times New Roman"/>
          <w:kern w:val="0"/>
          <w:szCs w:val="20"/>
        </w:rPr>
        <w:t>(2), 434–446. https://doi.org/10.38035/jim.v1i2.53</w:t>
      </w:r>
    </w:p>
    <w:p w14:paraId="2D147847" w14:textId="77777777" w:rsidR="002A19BE" w:rsidRPr="00D71C6A" w:rsidRDefault="002A19BE" w:rsidP="00D71C6A">
      <w:pPr>
        <w:widowControl w:val="0"/>
        <w:autoSpaceDE w:val="0"/>
        <w:autoSpaceDN w:val="0"/>
        <w:adjustRightInd w:val="0"/>
        <w:ind w:left="480" w:hanging="480"/>
        <w:rPr>
          <w:rFonts w:cs="Times New Roman"/>
          <w:szCs w:val="20"/>
        </w:rPr>
      </w:pPr>
      <w:r w:rsidRPr="00D71C6A">
        <w:rPr>
          <w:rFonts w:cs="Times New Roman"/>
          <w:kern w:val="0"/>
          <w:szCs w:val="20"/>
        </w:rPr>
        <w:t xml:space="preserve">Wijaya, H., &amp; Ananda, S. (2023). </w:t>
      </w:r>
      <w:r w:rsidRPr="00D71C6A">
        <w:rPr>
          <w:rFonts w:cs="Times New Roman"/>
          <w:i/>
          <w:iCs/>
          <w:kern w:val="0"/>
          <w:szCs w:val="20"/>
        </w:rPr>
        <w:t>Manajemen Keuangan dan Investasi</w:t>
      </w:r>
      <w:r w:rsidRPr="00D71C6A">
        <w:rPr>
          <w:rFonts w:cs="Times New Roman"/>
          <w:kern w:val="0"/>
          <w:szCs w:val="20"/>
        </w:rPr>
        <w:t>. Depublish.</w:t>
      </w:r>
    </w:p>
    <w:p w14:paraId="5BD5DBBE" w14:textId="4AE6B38F" w:rsidR="00884186" w:rsidRPr="00D71C6A" w:rsidRDefault="00884186" w:rsidP="00D71C6A">
      <w:pPr>
        <w:contextualSpacing/>
        <w:rPr>
          <w:rFonts w:cs="Times New Roman"/>
          <w:b/>
          <w:bCs/>
          <w:szCs w:val="20"/>
        </w:rPr>
      </w:pPr>
      <w:r w:rsidRPr="00D71C6A">
        <w:rPr>
          <w:rFonts w:cs="Times New Roman"/>
          <w:b/>
          <w:bCs/>
          <w:szCs w:val="20"/>
        </w:rPr>
        <w:fldChar w:fldCharType="end"/>
      </w:r>
    </w:p>
    <w:sectPr w:rsidR="00884186" w:rsidRPr="00D71C6A" w:rsidSect="00D71C6A">
      <w:headerReference w:type="default" r:id="rId9"/>
      <w:footerReference w:type="default" r:id="rId10"/>
      <w:headerReference w:type="first" r:id="rId11"/>
      <w:footerReference w:type="first" r:id="rId12"/>
      <w:pgSz w:w="11906" w:h="16838" w:code="9"/>
      <w:pgMar w:top="1701" w:right="1701" w:bottom="1701" w:left="2268" w:header="709" w:footer="709" w:gutter="0"/>
      <w:pgNumType w:start="13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C01B" w14:textId="77777777" w:rsidR="00C80B53" w:rsidRDefault="00C80B53" w:rsidP="00D71C6A">
      <w:r>
        <w:separator/>
      </w:r>
    </w:p>
  </w:endnote>
  <w:endnote w:type="continuationSeparator" w:id="0">
    <w:p w14:paraId="355BA2DD" w14:textId="77777777" w:rsidR="00C80B53" w:rsidRDefault="00C80B53" w:rsidP="00D7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924611702"/>
      <w:docPartObj>
        <w:docPartGallery w:val="Page Numbers (Bottom of Page)"/>
        <w:docPartUnique/>
      </w:docPartObj>
    </w:sdtPr>
    <w:sdtEndPr>
      <w:rPr>
        <w:noProof/>
      </w:rPr>
    </w:sdtEndPr>
    <w:sdtContent>
      <w:p w14:paraId="0F5B7A83" w14:textId="1AC86B85" w:rsidR="00D71C6A" w:rsidRDefault="00D71C6A" w:rsidP="00D71C6A">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47882170"/>
      <w:docPartObj>
        <w:docPartGallery w:val="Page Numbers (Bottom of Page)"/>
        <w:docPartUnique/>
      </w:docPartObj>
    </w:sdtPr>
    <w:sdtEndPr>
      <w:rPr>
        <w:noProof/>
      </w:rPr>
    </w:sdtEndPr>
    <w:sdtContent>
      <w:p w14:paraId="21ABFED8" w14:textId="70351B5A" w:rsidR="00D71C6A" w:rsidRDefault="00D71C6A" w:rsidP="00D71C6A">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1C68" w14:textId="77777777" w:rsidR="00C80B53" w:rsidRDefault="00C80B53" w:rsidP="00D71C6A">
      <w:r>
        <w:separator/>
      </w:r>
    </w:p>
  </w:footnote>
  <w:footnote w:type="continuationSeparator" w:id="0">
    <w:p w14:paraId="45724751" w14:textId="77777777" w:rsidR="00C80B53" w:rsidRDefault="00C80B53" w:rsidP="00D71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4B86" w14:textId="77777777" w:rsidR="00D71C6A" w:rsidRPr="000449CC" w:rsidRDefault="00D71C6A" w:rsidP="00D71C6A">
    <w:pPr>
      <w:jc w:val="left"/>
      <w:rPr>
        <w:lang w:bidi="en-US"/>
      </w:rPr>
    </w:pPr>
    <w:r w:rsidRPr="000449CC">
      <w:rPr>
        <w:lang w:bidi="en-US"/>
      </w:rPr>
      <w:t>The Virtual International Conference on Economics, Law and Humanities</w:t>
    </w:r>
  </w:p>
  <w:p w14:paraId="6B74C4ED" w14:textId="57C64EFF" w:rsidR="00D71C6A" w:rsidRDefault="00D71C6A" w:rsidP="00D71C6A">
    <w:pPr>
      <w:jc w:val="left"/>
      <w:rPr>
        <w:lang w:bidi="en-US"/>
      </w:rPr>
    </w:pPr>
    <w:r w:rsidRPr="000449CC">
      <w:rPr>
        <w:lang w:bidi="en-US"/>
      </w:rPr>
      <w:t xml:space="preserve">Volume </w:t>
    </w:r>
    <w:r>
      <w:rPr>
        <w:lang w:bidi="en-US"/>
      </w:rPr>
      <w:t>4</w:t>
    </w:r>
    <w:r w:rsidRPr="000449CC">
      <w:rPr>
        <w:lang w:bidi="en-US"/>
      </w:rPr>
      <w:t xml:space="preserve"> Number 1 202</w:t>
    </w:r>
    <w:r>
      <w:rPr>
        <w:lang w:bidi="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89BB" w14:textId="77777777" w:rsidR="00D71C6A" w:rsidRPr="000449CC" w:rsidRDefault="00D71C6A" w:rsidP="00D71C6A">
    <w:pPr>
      <w:jc w:val="right"/>
      <w:rPr>
        <w:lang w:bidi="en-US"/>
      </w:rPr>
    </w:pPr>
    <w:r w:rsidRPr="000449CC">
      <w:rPr>
        <w:lang w:bidi="en-US"/>
      </w:rPr>
      <w:t>The Virtual International Conference on Economics, Law and Humanities</w:t>
    </w:r>
  </w:p>
  <w:p w14:paraId="78FD8440" w14:textId="77777777" w:rsidR="00D71C6A" w:rsidRDefault="00D71C6A" w:rsidP="00D71C6A">
    <w:pPr>
      <w:jc w:val="right"/>
      <w:rPr>
        <w:lang w:bidi="en-US"/>
      </w:rPr>
    </w:pPr>
    <w:r w:rsidRPr="000449CC">
      <w:rPr>
        <w:lang w:bidi="en-US"/>
      </w:rPr>
      <w:t xml:space="preserve">Volume </w:t>
    </w:r>
    <w:r>
      <w:rPr>
        <w:lang w:bidi="en-US"/>
      </w:rPr>
      <w:t>4</w:t>
    </w:r>
    <w:r w:rsidRPr="000449CC">
      <w:rPr>
        <w:lang w:bidi="en-US"/>
      </w:rPr>
      <w:t xml:space="preserve"> Number 1 202</w:t>
    </w:r>
    <w:r>
      <w:rPr>
        <w:lang w:bidi="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385"/>
    <w:multiLevelType w:val="hybridMultilevel"/>
    <w:tmpl w:val="A54282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877B78"/>
    <w:multiLevelType w:val="hybridMultilevel"/>
    <w:tmpl w:val="E6B678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9367EC"/>
    <w:multiLevelType w:val="multilevel"/>
    <w:tmpl w:val="0BB2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07B9F"/>
    <w:multiLevelType w:val="hybridMultilevel"/>
    <w:tmpl w:val="E1B09F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264231"/>
    <w:multiLevelType w:val="hybridMultilevel"/>
    <w:tmpl w:val="A8F07246"/>
    <w:lvl w:ilvl="0" w:tplc="680ACAFC">
      <w:start w:val="3"/>
      <w:numFmt w:val="bullet"/>
      <w:lvlText w:val="-"/>
      <w:lvlJc w:val="left"/>
      <w:pPr>
        <w:ind w:left="786" w:hanging="360"/>
      </w:pPr>
      <w:rPr>
        <w:rFonts w:ascii="Times New Roman" w:eastAsiaTheme="minorHAnsi"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5" w15:restartNumberingAfterBreak="0">
    <w:nsid w:val="1B1A7517"/>
    <w:multiLevelType w:val="hybridMultilevel"/>
    <w:tmpl w:val="9E72FC58"/>
    <w:lvl w:ilvl="0" w:tplc="38090015">
      <w:start w:val="1"/>
      <w:numFmt w:val="upperLetter"/>
      <w:lvlText w:val="%1."/>
      <w:lvlJc w:val="left"/>
      <w:pPr>
        <w:ind w:left="347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E3E57C6"/>
    <w:multiLevelType w:val="hybridMultilevel"/>
    <w:tmpl w:val="9698E4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4616217"/>
    <w:multiLevelType w:val="hybridMultilevel"/>
    <w:tmpl w:val="02F24C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13E528F"/>
    <w:multiLevelType w:val="multilevel"/>
    <w:tmpl w:val="EA70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A5B44"/>
    <w:multiLevelType w:val="hybridMultilevel"/>
    <w:tmpl w:val="C5D0534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9424920E">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6A820C1"/>
    <w:multiLevelType w:val="hybridMultilevel"/>
    <w:tmpl w:val="8E2EE864"/>
    <w:lvl w:ilvl="0" w:tplc="4EA80D04">
      <w:start w:val="3"/>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 w15:restartNumberingAfterBreak="0">
    <w:nsid w:val="73D74EB1"/>
    <w:multiLevelType w:val="multilevel"/>
    <w:tmpl w:val="630AD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9"/>
  </w:num>
  <w:num w:numId="4">
    <w:abstractNumId w:val="0"/>
  </w:num>
  <w:num w:numId="5">
    <w:abstractNumId w:val="8"/>
  </w:num>
  <w:num w:numId="6">
    <w:abstractNumId w:val="7"/>
  </w:num>
  <w:num w:numId="7">
    <w:abstractNumId w:val="1"/>
  </w:num>
  <w:num w:numId="8">
    <w:abstractNumId w:val="6"/>
  </w:num>
  <w:num w:numId="9">
    <w:abstractNumId w:val="2"/>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C3"/>
    <w:rsid w:val="00043D6B"/>
    <w:rsid w:val="00067173"/>
    <w:rsid w:val="00177517"/>
    <w:rsid w:val="001A6D0C"/>
    <w:rsid w:val="001B578B"/>
    <w:rsid w:val="001D7E27"/>
    <w:rsid w:val="0027737A"/>
    <w:rsid w:val="0028579C"/>
    <w:rsid w:val="00286187"/>
    <w:rsid w:val="002A19BE"/>
    <w:rsid w:val="0034124D"/>
    <w:rsid w:val="003834AB"/>
    <w:rsid w:val="00393090"/>
    <w:rsid w:val="003A4F73"/>
    <w:rsid w:val="003D3377"/>
    <w:rsid w:val="003F3E27"/>
    <w:rsid w:val="0042785A"/>
    <w:rsid w:val="00440460"/>
    <w:rsid w:val="00463B52"/>
    <w:rsid w:val="0052155A"/>
    <w:rsid w:val="0058735A"/>
    <w:rsid w:val="005A52F7"/>
    <w:rsid w:val="005F048F"/>
    <w:rsid w:val="00691CA4"/>
    <w:rsid w:val="006C6D2E"/>
    <w:rsid w:val="006E1321"/>
    <w:rsid w:val="00746872"/>
    <w:rsid w:val="00774B14"/>
    <w:rsid w:val="007812E0"/>
    <w:rsid w:val="007D33FB"/>
    <w:rsid w:val="007D358F"/>
    <w:rsid w:val="007F5BBC"/>
    <w:rsid w:val="00834C73"/>
    <w:rsid w:val="00863030"/>
    <w:rsid w:val="00884186"/>
    <w:rsid w:val="008C668F"/>
    <w:rsid w:val="00914A99"/>
    <w:rsid w:val="009203F3"/>
    <w:rsid w:val="00944E5C"/>
    <w:rsid w:val="00991CC3"/>
    <w:rsid w:val="009A6678"/>
    <w:rsid w:val="009C7AA2"/>
    <w:rsid w:val="009D1FD3"/>
    <w:rsid w:val="00A666D1"/>
    <w:rsid w:val="00A74C21"/>
    <w:rsid w:val="00AA4107"/>
    <w:rsid w:val="00AA5F69"/>
    <w:rsid w:val="00AC0DB2"/>
    <w:rsid w:val="00AF332E"/>
    <w:rsid w:val="00B15F8D"/>
    <w:rsid w:val="00B765F0"/>
    <w:rsid w:val="00BB3FFD"/>
    <w:rsid w:val="00BD2B03"/>
    <w:rsid w:val="00BE29F5"/>
    <w:rsid w:val="00C12FA3"/>
    <w:rsid w:val="00C80B53"/>
    <w:rsid w:val="00CF33D6"/>
    <w:rsid w:val="00D32DD2"/>
    <w:rsid w:val="00D34B6E"/>
    <w:rsid w:val="00D50152"/>
    <w:rsid w:val="00D71C6A"/>
    <w:rsid w:val="00D86F8C"/>
    <w:rsid w:val="00DC72A0"/>
    <w:rsid w:val="00E02F86"/>
    <w:rsid w:val="00E05379"/>
    <w:rsid w:val="00E366D3"/>
    <w:rsid w:val="00E71999"/>
    <w:rsid w:val="00E95CDE"/>
    <w:rsid w:val="00E96090"/>
    <w:rsid w:val="00EB2E5C"/>
    <w:rsid w:val="00F70988"/>
    <w:rsid w:val="00F72017"/>
    <w:rsid w:val="00F84048"/>
    <w:rsid w:val="00F91B95"/>
    <w:rsid w:val="00FA3B4F"/>
    <w:rsid w:val="00FE62FC"/>
    <w:rsid w:val="00FF30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AE9E"/>
  <w15:chartTrackingRefBased/>
  <w15:docId w15:val="{C3074B55-465A-4DFF-B6DE-6886BBB0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6A"/>
    <w:pPr>
      <w:spacing w:after="0" w:line="240" w:lineRule="auto"/>
      <w:jc w:val="both"/>
    </w:pPr>
    <w:rPr>
      <w:rFonts w:ascii="Times New Roman" w:hAnsi="Times New Roman"/>
      <w:noProof/>
      <w:sz w:val="20"/>
    </w:rPr>
  </w:style>
  <w:style w:type="paragraph" w:styleId="Heading1">
    <w:name w:val="heading 1"/>
    <w:basedOn w:val="Normal"/>
    <w:next w:val="Normal"/>
    <w:link w:val="Heading1Char"/>
    <w:uiPriority w:val="9"/>
    <w:qFormat/>
    <w:rsid w:val="00991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1C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C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C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C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C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C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C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C3"/>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991CC3"/>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rsid w:val="00991CC3"/>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991CC3"/>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991CC3"/>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991CC3"/>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991CC3"/>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991CC3"/>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991CC3"/>
    <w:rPr>
      <w:rFonts w:eastAsiaTheme="majorEastAsia" w:cstheme="majorBidi"/>
      <w:noProof/>
      <w:color w:val="272727" w:themeColor="text1" w:themeTint="D8"/>
    </w:rPr>
  </w:style>
  <w:style w:type="paragraph" w:styleId="Title">
    <w:name w:val="Title"/>
    <w:basedOn w:val="Normal"/>
    <w:next w:val="Normal"/>
    <w:link w:val="TitleChar"/>
    <w:uiPriority w:val="10"/>
    <w:qFormat/>
    <w:rsid w:val="00991C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CC3"/>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991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CC3"/>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991CC3"/>
    <w:pPr>
      <w:spacing w:before="160"/>
      <w:jc w:val="center"/>
    </w:pPr>
    <w:rPr>
      <w:i/>
      <w:iCs/>
      <w:color w:val="404040" w:themeColor="text1" w:themeTint="BF"/>
    </w:rPr>
  </w:style>
  <w:style w:type="character" w:customStyle="1" w:styleId="QuoteChar">
    <w:name w:val="Quote Char"/>
    <w:basedOn w:val="DefaultParagraphFont"/>
    <w:link w:val="Quote"/>
    <w:uiPriority w:val="29"/>
    <w:rsid w:val="00991CC3"/>
    <w:rPr>
      <w:i/>
      <w:iCs/>
      <w:noProof/>
      <w:color w:val="404040" w:themeColor="text1" w:themeTint="BF"/>
    </w:rPr>
  </w:style>
  <w:style w:type="paragraph" w:styleId="ListParagraph">
    <w:name w:val="List Paragraph"/>
    <w:basedOn w:val="Normal"/>
    <w:uiPriority w:val="34"/>
    <w:qFormat/>
    <w:rsid w:val="00991CC3"/>
    <w:pPr>
      <w:ind w:left="720"/>
      <w:contextualSpacing/>
    </w:pPr>
  </w:style>
  <w:style w:type="character" w:styleId="IntenseEmphasis">
    <w:name w:val="Intense Emphasis"/>
    <w:basedOn w:val="DefaultParagraphFont"/>
    <w:uiPriority w:val="21"/>
    <w:qFormat/>
    <w:rsid w:val="00991CC3"/>
    <w:rPr>
      <w:i/>
      <w:iCs/>
      <w:color w:val="2F5496" w:themeColor="accent1" w:themeShade="BF"/>
    </w:rPr>
  </w:style>
  <w:style w:type="paragraph" w:styleId="IntenseQuote">
    <w:name w:val="Intense Quote"/>
    <w:basedOn w:val="Normal"/>
    <w:next w:val="Normal"/>
    <w:link w:val="IntenseQuoteChar"/>
    <w:uiPriority w:val="30"/>
    <w:qFormat/>
    <w:rsid w:val="00991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CC3"/>
    <w:rPr>
      <w:i/>
      <w:iCs/>
      <w:noProof/>
      <w:color w:val="2F5496" w:themeColor="accent1" w:themeShade="BF"/>
    </w:rPr>
  </w:style>
  <w:style w:type="character" w:styleId="IntenseReference">
    <w:name w:val="Intense Reference"/>
    <w:basedOn w:val="DefaultParagraphFont"/>
    <w:uiPriority w:val="32"/>
    <w:qFormat/>
    <w:rsid w:val="00991CC3"/>
    <w:rPr>
      <w:b/>
      <w:bCs/>
      <w:smallCaps/>
      <w:color w:val="2F5496" w:themeColor="accent1" w:themeShade="BF"/>
      <w:spacing w:val="5"/>
    </w:rPr>
  </w:style>
  <w:style w:type="character" w:styleId="Hyperlink">
    <w:name w:val="Hyperlink"/>
    <w:basedOn w:val="DefaultParagraphFont"/>
    <w:uiPriority w:val="99"/>
    <w:unhideWhenUsed/>
    <w:rsid w:val="003834AB"/>
    <w:rPr>
      <w:color w:val="0563C1" w:themeColor="hyperlink"/>
      <w:u w:val="single"/>
    </w:rPr>
  </w:style>
  <w:style w:type="character" w:styleId="UnresolvedMention">
    <w:name w:val="Unresolved Mention"/>
    <w:basedOn w:val="DefaultParagraphFont"/>
    <w:uiPriority w:val="99"/>
    <w:semiHidden/>
    <w:unhideWhenUsed/>
    <w:rsid w:val="003834AB"/>
    <w:rPr>
      <w:color w:val="605E5C"/>
      <w:shd w:val="clear" w:color="auto" w:fill="E1DFDD"/>
    </w:rPr>
  </w:style>
  <w:style w:type="paragraph" w:styleId="NormalWeb">
    <w:name w:val="Normal (Web)"/>
    <w:basedOn w:val="Normal"/>
    <w:uiPriority w:val="99"/>
    <w:unhideWhenUsed/>
    <w:rsid w:val="00774B14"/>
    <w:pPr>
      <w:spacing w:before="100" w:beforeAutospacing="1" w:after="100" w:afterAutospacing="1"/>
    </w:pPr>
    <w:rPr>
      <w:rFonts w:eastAsia="Times New Roman" w:cs="Times New Roman"/>
      <w:noProof w:val="0"/>
      <w:kern w:val="0"/>
      <w:sz w:val="24"/>
      <w:szCs w:val="24"/>
      <w:lang w:eastAsia="en-ID"/>
      <w14:ligatures w14:val="none"/>
    </w:rPr>
  </w:style>
  <w:style w:type="character" w:styleId="Strong">
    <w:name w:val="Strong"/>
    <w:basedOn w:val="DefaultParagraphFont"/>
    <w:uiPriority w:val="22"/>
    <w:qFormat/>
    <w:rsid w:val="00774B14"/>
    <w:rPr>
      <w:b/>
      <w:bCs/>
    </w:rPr>
  </w:style>
  <w:style w:type="character" w:styleId="Emphasis">
    <w:name w:val="Emphasis"/>
    <w:basedOn w:val="DefaultParagraphFont"/>
    <w:uiPriority w:val="20"/>
    <w:qFormat/>
    <w:rsid w:val="00746872"/>
    <w:rPr>
      <w:i/>
      <w:iCs/>
    </w:rPr>
  </w:style>
  <w:style w:type="table" w:styleId="TableGrid">
    <w:name w:val="Table Grid"/>
    <w:basedOn w:val="TableNormal"/>
    <w:uiPriority w:val="39"/>
    <w:rsid w:val="00E36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C6A"/>
    <w:pPr>
      <w:tabs>
        <w:tab w:val="center" w:pos="4513"/>
        <w:tab w:val="right" w:pos="9026"/>
      </w:tabs>
    </w:pPr>
  </w:style>
  <w:style w:type="character" w:customStyle="1" w:styleId="HeaderChar">
    <w:name w:val="Header Char"/>
    <w:basedOn w:val="DefaultParagraphFont"/>
    <w:link w:val="Header"/>
    <w:uiPriority w:val="99"/>
    <w:rsid w:val="00D71C6A"/>
    <w:rPr>
      <w:rFonts w:ascii="Times New Roman" w:hAnsi="Times New Roman"/>
      <w:noProof/>
      <w:sz w:val="20"/>
    </w:rPr>
  </w:style>
  <w:style w:type="paragraph" w:styleId="Footer">
    <w:name w:val="footer"/>
    <w:basedOn w:val="Normal"/>
    <w:link w:val="FooterChar"/>
    <w:uiPriority w:val="99"/>
    <w:unhideWhenUsed/>
    <w:rsid w:val="00D71C6A"/>
    <w:pPr>
      <w:tabs>
        <w:tab w:val="center" w:pos="4513"/>
        <w:tab w:val="right" w:pos="9026"/>
      </w:tabs>
    </w:pPr>
  </w:style>
  <w:style w:type="character" w:customStyle="1" w:styleId="FooterChar">
    <w:name w:val="Footer Char"/>
    <w:basedOn w:val="DefaultParagraphFont"/>
    <w:link w:val="Footer"/>
    <w:uiPriority w:val="99"/>
    <w:rsid w:val="00D71C6A"/>
    <w:rPr>
      <w:rFonts w:ascii="Times New Roman" w:hAnsi="Times New Roman"/>
      <w:noProof/>
      <w:sz w:val="20"/>
    </w:rPr>
  </w:style>
  <w:style w:type="table" w:customStyle="1" w:styleId="Style1">
    <w:name w:val="Style1"/>
    <w:basedOn w:val="TableNormal"/>
    <w:uiPriority w:val="99"/>
    <w:rsid w:val="00286187"/>
    <w:pPr>
      <w:spacing w:after="0" w:line="240" w:lineRule="auto"/>
    </w:pPr>
    <w:rPr>
      <w:rFonts w:ascii="Times New Roman" w:hAnsi="Times New Roman"/>
      <w:sz w:val="20"/>
    </w:rPr>
    <w:tblPr>
      <w:tblBorders>
        <w:top w:val="single" w:sz="4" w:space="0" w:color="auto"/>
        <w:bottom w:val="single" w:sz="4" w:space="0" w:color="auto"/>
        <w:insideH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3EDBC-8CDC-4385-91BF-FC628793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11337</Words>
  <Characters>64625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Ugitia Ningrum</dc:creator>
  <cp:keywords/>
  <dc:description/>
  <cp:lastModifiedBy>LENOVO</cp:lastModifiedBy>
  <cp:revision>5</cp:revision>
  <cp:lastPrinted>2025-11-06T10:10:00Z</cp:lastPrinted>
  <dcterms:created xsi:type="dcterms:W3CDTF">2026-02-22T05:29:00Z</dcterms:created>
  <dcterms:modified xsi:type="dcterms:W3CDTF">2026-02-22T05:34:00Z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c3935405-5d59-315d-8235-e41d4db50aea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